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64B41" w14:textId="56A80548" w:rsidR="005A4188" w:rsidRDefault="009349C2" w:rsidP="1976D7F2">
      <w:pPr>
        <w:rPr>
          <w:rFonts w:cs="Arial"/>
          <w:b/>
          <w:bCs/>
          <w:sz w:val="40"/>
          <w:szCs w:val="40"/>
        </w:rPr>
        <w:sectPr w:rsidR="005A4188" w:rsidSect="00A3132A">
          <w:headerReference w:type="default" r:id="rId11"/>
          <w:footerReference w:type="even" r:id="rId12"/>
          <w:footerReference w:type="default" r:id="rId13"/>
          <w:endnotePr>
            <w:numFmt w:val="decimal"/>
          </w:endnotePr>
          <w:pgSz w:w="11900" w:h="16840"/>
          <w:pgMar w:top="1134" w:right="1134" w:bottom="1134" w:left="1134" w:header="720" w:footer="720" w:gutter="0"/>
          <w:cols w:space="720"/>
          <w:titlePg/>
          <w:docGrid w:linePitch="360"/>
        </w:sectPr>
      </w:pPr>
      <w:r>
        <w:rPr>
          <w:rFonts w:cs="Arial"/>
          <w:b/>
          <w:bCs/>
          <w:noProof/>
          <w:sz w:val="40"/>
          <w:szCs w:val="40"/>
        </w:rPr>
        <w:drawing>
          <wp:anchor distT="0" distB="0" distL="114300" distR="114300" simplePos="0" relativeHeight="251657217" behindDoc="0" locked="0" layoutInCell="1" allowOverlap="1" wp14:anchorId="0CDDBB89" wp14:editId="610CB7E1">
            <wp:simplePos x="0" y="0"/>
            <wp:positionH relativeFrom="page">
              <wp:posOffset>11430</wp:posOffset>
            </wp:positionH>
            <wp:positionV relativeFrom="page">
              <wp:posOffset>15875</wp:posOffset>
            </wp:positionV>
            <wp:extent cx="7531735" cy="10649585"/>
            <wp:effectExtent l="0" t="0" r="0" b="0"/>
            <wp:wrapNone/>
            <wp:docPr id="1875201076" name="Picture 1875201076"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01076" name="Picture 1875201076" descr="P1#y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31735" cy="1064958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Calibri" w:cs="Calibri"/>
          <w:color w:val="auto"/>
          <w:sz w:val="24"/>
          <w:szCs w:val="24"/>
          <w:lang w:val="en-GB" w:eastAsia="en-GB"/>
        </w:rPr>
        <w:id w:val="-2092308090"/>
        <w:docPartObj>
          <w:docPartGallery w:val="Table of Contents"/>
          <w:docPartUnique/>
        </w:docPartObj>
      </w:sdtPr>
      <w:sdtEndPr>
        <w:rPr>
          <w:rFonts w:eastAsiaTheme="minorEastAsia" w:cs="Times New Roman"/>
          <w:b/>
          <w:bCs/>
          <w:sz w:val="21"/>
          <w:szCs w:val="21"/>
          <w:lang w:val="en-AU"/>
        </w:rPr>
      </w:sdtEndPr>
      <w:sdtContent>
        <w:p w14:paraId="1E33C1FB" w14:textId="648E4976" w:rsidR="00001145" w:rsidRPr="003B2996" w:rsidRDefault="00001145" w:rsidP="003B2996">
          <w:pPr>
            <w:pStyle w:val="TOCHeading"/>
            <w:numPr>
              <w:ilvl w:val="0"/>
              <w:numId w:val="0"/>
            </w:numPr>
            <w:ind w:left="190"/>
            <w:rPr>
              <w:rFonts w:ascii="Arial Bold" w:hAnsi="Arial Bold" w:hint="eastAsia"/>
              <w:b/>
              <w:caps/>
            </w:rPr>
          </w:pPr>
          <w:r w:rsidRPr="003B2996">
            <w:rPr>
              <w:rFonts w:ascii="Arial Bold" w:hAnsi="Arial Bold"/>
              <w:b/>
              <w:caps/>
            </w:rPr>
            <w:t>Contents</w:t>
          </w:r>
        </w:p>
        <w:bookmarkStart w:id="0" w:name="_Toc138173772"/>
        <w:bookmarkStart w:id="1" w:name="_Toc138151559"/>
        <w:p w14:paraId="4FC166B0" w14:textId="1802F26C" w:rsidR="00F758BB" w:rsidRDefault="006C29F2">
          <w:pPr>
            <w:pStyle w:val="TOC2"/>
            <w:rPr>
              <w:rFonts w:eastAsiaTheme="minorEastAsia" w:cstheme="minorBidi"/>
              <w:b w:val="0"/>
              <w:bCs w:val="0"/>
              <w:smallCaps w:val="0"/>
              <w:noProof/>
              <w:kern w:val="2"/>
              <w:lang w:eastAsia="en-AU"/>
              <w14:ligatures w14:val="standardContextual"/>
            </w:rPr>
          </w:pPr>
          <w:r>
            <w:rPr>
              <w:rFonts w:eastAsiaTheme="minorEastAsia" w:cs="Times New Roman"/>
              <w:sz w:val="21"/>
            </w:rPr>
            <w:fldChar w:fldCharType="begin"/>
          </w:r>
          <w:r>
            <w:rPr>
              <w:rFonts w:eastAsiaTheme="minorEastAsia" w:cs="Times New Roman"/>
              <w:sz w:val="21"/>
            </w:rPr>
            <w:instrText xml:space="preserve"> TOC \o "1-2" \h \z \u </w:instrText>
          </w:r>
          <w:r>
            <w:rPr>
              <w:rFonts w:eastAsiaTheme="minorEastAsia" w:cs="Times New Roman"/>
              <w:sz w:val="21"/>
            </w:rPr>
            <w:fldChar w:fldCharType="separate"/>
          </w:r>
          <w:hyperlink w:anchor="_Toc163737175" w:history="1">
            <w:r w:rsidR="00F758BB" w:rsidRPr="00856BE7">
              <w:rPr>
                <w:rStyle w:val="Hyperlink"/>
                <w:rFonts w:ascii="Arial" w:hAnsi="Arial" w:cs="Arial"/>
                <w:caps/>
                <w:noProof/>
                <w:highlight w:val="white"/>
              </w:rPr>
              <w:t>Glossary</w:t>
            </w:r>
            <w:r w:rsidR="00F758BB">
              <w:rPr>
                <w:noProof/>
                <w:webHidden/>
              </w:rPr>
              <w:tab/>
            </w:r>
            <w:r w:rsidR="00F758BB">
              <w:rPr>
                <w:noProof/>
                <w:webHidden/>
              </w:rPr>
              <w:fldChar w:fldCharType="begin"/>
            </w:r>
            <w:r w:rsidR="00F758BB">
              <w:rPr>
                <w:noProof/>
                <w:webHidden/>
              </w:rPr>
              <w:instrText xml:space="preserve"> PAGEREF _Toc163737175 \h </w:instrText>
            </w:r>
            <w:r w:rsidR="00F758BB">
              <w:rPr>
                <w:noProof/>
                <w:webHidden/>
              </w:rPr>
            </w:r>
            <w:r w:rsidR="00F758BB">
              <w:rPr>
                <w:noProof/>
                <w:webHidden/>
              </w:rPr>
              <w:fldChar w:fldCharType="separate"/>
            </w:r>
            <w:r w:rsidR="00853142">
              <w:rPr>
                <w:noProof/>
                <w:webHidden/>
              </w:rPr>
              <w:t>5</w:t>
            </w:r>
            <w:r w:rsidR="00F758BB">
              <w:rPr>
                <w:noProof/>
                <w:webHidden/>
              </w:rPr>
              <w:fldChar w:fldCharType="end"/>
            </w:r>
          </w:hyperlink>
        </w:p>
        <w:p w14:paraId="498D5018" w14:textId="2E4BAE82"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76" w:history="1">
            <w:r w:rsidR="00F758BB" w:rsidRPr="00856BE7">
              <w:rPr>
                <w:rStyle w:val="Hyperlink"/>
                <w:noProof/>
                <w:highlight w:val="white"/>
              </w:rPr>
              <w:t>1.</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rPr>
              <w:t>Introduction</w:t>
            </w:r>
            <w:r w:rsidR="00F758BB">
              <w:rPr>
                <w:noProof/>
                <w:webHidden/>
              </w:rPr>
              <w:tab/>
            </w:r>
            <w:r w:rsidR="00F758BB">
              <w:rPr>
                <w:noProof/>
                <w:webHidden/>
              </w:rPr>
              <w:fldChar w:fldCharType="begin"/>
            </w:r>
            <w:r w:rsidR="00F758BB">
              <w:rPr>
                <w:noProof/>
                <w:webHidden/>
              </w:rPr>
              <w:instrText xml:space="preserve"> PAGEREF _Toc163737176 \h </w:instrText>
            </w:r>
            <w:r w:rsidR="00F758BB">
              <w:rPr>
                <w:noProof/>
                <w:webHidden/>
              </w:rPr>
            </w:r>
            <w:r w:rsidR="00F758BB">
              <w:rPr>
                <w:noProof/>
                <w:webHidden/>
              </w:rPr>
              <w:fldChar w:fldCharType="separate"/>
            </w:r>
            <w:r>
              <w:rPr>
                <w:noProof/>
                <w:webHidden/>
              </w:rPr>
              <w:t>9</w:t>
            </w:r>
            <w:r w:rsidR="00F758BB">
              <w:rPr>
                <w:noProof/>
                <w:webHidden/>
              </w:rPr>
              <w:fldChar w:fldCharType="end"/>
            </w:r>
          </w:hyperlink>
        </w:p>
        <w:p w14:paraId="4D46809C" w14:textId="4B5113BD"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77" w:history="1">
            <w:r w:rsidR="00F758BB" w:rsidRPr="00856BE7">
              <w:rPr>
                <w:rStyle w:val="Hyperlink"/>
                <w:noProof/>
                <w:highlight w:val="white"/>
              </w:rPr>
              <w:t>2.</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highlight w:val="white"/>
              </w:rPr>
              <w:t>Guiding principles</w:t>
            </w:r>
            <w:r w:rsidR="00F758BB">
              <w:rPr>
                <w:noProof/>
                <w:webHidden/>
              </w:rPr>
              <w:tab/>
            </w:r>
            <w:r w:rsidR="00F758BB">
              <w:rPr>
                <w:noProof/>
                <w:webHidden/>
              </w:rPr>
              <w:fldChar w:fldCharType="begin"/>
            </w:r>
            <w:r w:rsidR="00F758BB">
              <w:rPr>
                <w:noProof/>
                <w:webHidden/>
              </w:rPr>
              <w:instrText xml:space="preserve"> PAGEREF _Toc163737177 \h </w:instrText>
            </w:r>
            <w:r w:rsidR="00F758BB">
              <w:rPr>
                <w:noProof/>
                <w:webHidden/>
              </w:rPr>
            </w:r>
            <w:r w:rsidR="00F758BB">
              <w:rPr>
                <w:noProof/>
                <w:webHidden/>
              </w:rPr>
              <w:fldChar w:fldCharType="separate"/>
            </w:r>
            <w:r>
              <w:rPr>
                <w:noProof/>
                <w:webHidden/>
              </w:rPr>
              <w:t>10</w:t>
            </w:r>
            <w:r w:rsidR="00F758BB">
              <w:rPr>
                <w:noProof/>
                <w:webHidden/>
              </w:rPr>
              <w:fldChar w:fldCharType="end"/>
            </w:r>
          </w:hyperlink>
        </w:p>
        <w:p w14:paraId="24C0BCFC" w14:textId="404EC70B"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78" w:history="1">
            <w:r w:rsidR="00F758BB" w:rsidRPr="00856BE7">
              <w:rPr>
                <w:rStyle w:val="Hyperlink"/>
                <w:noProof/>
              </w:rPr>
              <w:t>3.</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rPr>
              <w:t>Snapshot of STI in Australia</w:t>
            </w:r>
            <w:r w:rsidR="00F758BB">
              <w:rPr>
                <w:noProof/>
                <w:webHidden/>
              </w:rPr>
              <w:tab/>
            </w:r>
            <w:r w:rsidR="00F758BB">
              <w:rPr>
                <w:noProof/>
                <w:webHidden/>
              </w:rPr>
              <w:fldChar w:fldCharType="begin"/>
            </w:r>
            <w:r w:rsidR="00F758BB">
              <w:rPr>
                <w:noProof/>
                <w:webHidden/>
              </w:rPr>
              <w:instrText xml:space="preserve"> PAGEREF _Toc163737178 \h </w:instrText>
            </w:r>
            <w:r w:rsidR="00F758BB">
              <w:rPr>
                <w:noProof/>
                <w:webHidden/>
              </w:rPr>
            </w:r>
            <w:r w:rsidR="00F758BB">
              <w:rPr>
                <w:noProof/>
                <w:webHidden/>
              </w:rPr>
              <w:fldChar w:fldCharType="separate"/>
            </w:r>
            <w:r>
              <w:rPr>
                <w:noProof/>
                <w:webHidden/>
              </w:rPr>
              <w:t>13</w:t>
            </w:r>
            <w:r w:rsidR="00F758BB">
              <w:rPr>
                <w:noProof/>
                <w:webHidden/>
              </w:rPr>
              <w:fldChar w:fldCharType="end"/>
            </w:r>
          </w:hyperlink>
        </w:p>
        <w:p w14:paraId="111EE0FF" w14:textId="3560F8C5"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79" w:history="1">
            <w:r w:rsidR="00F758BB" w:rsidRPr="00856BE7">
              <w:rPr>
                <w:rStyle w:val="Hyperlink"/>
                <w:noProof/>
                <w:highlight w:val="white"/>
              </w:rPr>
              <w:t>4.</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highlight w:val="white"/>
              </w:rPr>
              <w:t>About this strategy</w:t>
            </w:r>
            <w:r w:rsidR="00F758BB">
              <w:rPr>
                <w:noProof/>
                <w:webHidden/>
              </w:rPr>
              <w:tab/>
            </w:r>
            <w:r w:rsidR="00F758BB">
              <w:rPr>
                <w:noProof/>
                <w:webHidden/>
              </w:rPr>
              <w:fldChar w:fldCharType="begin"/>
            </w:r>
            <w:r w:rsidR="00F758BB">
              <w:rPr>
                <w:noProof/>
                <w:webHidden/>
              </w:rPr>
              <w:instrText xml:space="preserve"> PAGEREF _Toc163737179 \h </w:instrText>
            </w:r>
            <w:r w:rsidR="00F758BB">
              <w:rPr>
                <w:noProof/>
                <w:webHidden/>
              </w:rPr>
            </w:r>
            <w:r w:rsidR="00F758BB">
              <w:rPr>
                <w:noProof/>
                <w:webHidden/>
              </w:rPr>
              <w:fldChar w:fldCharType="separate"/>
            </w:r>
            <w:r>
              <w:rPr>
                <w:noProof/>
                <w:webHidden/>
              </w:rPr>
              <w:t>15</w:t>
            </w:r>
            <w:r w:rsidR="00F758BB">
              <w:rPr>
                <w:noProof/>
                <w:webHidden/>
              </w:rPr>
              <w:fldChar w:fldCharType="end"/>
            </w:r>
          </w:hyperlink>
        </w:p>
        <w:p w14:paraId="68AA5B1E" w14:textId="47FE8EAF"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80" w:history="1">
            <w:r w:rsidR="00F758BB" w:rsidRPr="00856BE7">
              <w:rPr>
                <w:rStyle w:val="Hyperlink"/>
                <w:noProof/>
                <w:highlight w:val="white"/>
              </w:rPr>
              <w:t>5.</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highlight w:val="white"/>
              </w:rPr>
              <w:t>Key achievements</w:t>
            </w:r>
            <w:r w:rsidR="00F758BB">
              <w:rPr>
                <w:noProof/>
                <w:webHidden/>
              </w:rPr>
              <w:tab/>
            </w:r>
            <w:r w:rsidR="00F758BB">
              <w:rPr>
                <w:noProof/>
                <w:webHidden/>
              </w:rPr>
              <w:fldChar w:fldCharType="begin"/>
            </w:r>
            <w:r w:rsidR="00F758BB">
              <w:rPr>
                <w:noProof/>
                <w:webHidden/>
              </w:rPr>
              <w:instrText xml:space="preserve"> PAGEREF _Toc163737180 \h </w:instrText>
            </w:r>
            <w:r w:rsidR="00F758BB">
              <w:rPr>
                <w:noProof/>
                <w:webHidden/>
              </w:rPr>
            </w:r>
            <w:r w:rsidR="00F758BB">
              <w:rPr>
                <w:noProof/>
                <w:webHidden/>
              </w:rPr>
              <w:fldChar w:fldCharType="separate"/>
            </w:r>
            <w:r>
              <w:rPr>
                <w:noProof/>
                <w:webHidden/>
              </w:rPr>
              <w:t>17</w:t>
            </w:r>
            <w:r w:rsidR="00F758BB">
              <w:rPr>
                <w:noProof/>
                <w:webHidden/>
              </w:rPr>
              <w:fldChar w:fldCharType="end"/>
            </w:r>
          </w:hyperlink>
        </w:p>
        <w:p w14:paraId="6A768ED9" w14:textId="2B41AB49" w:rsidR="00F758BB" w:rsidRDefault="00853142">
          <w:pPr>
            <w:pStyle w:val="TOC2"/>
            <w:rPr>
              <w:rFonts w:eastAsiaTheme="minorEastAsia" w:cstheme="minorBidi"/>
              <w:b w:val="0"/>
              <w:bCs w:val="0"/>
              <w:smallCaps w:val="0"/>
              <w:noProof/>
              <w:kern w:val="2"/>
              <w:lang w:eastAsia="en-AU"/>
              <w14:ligatures w14:val="standardContextual"/>
            </w:rPr>
          </w:pPr>
          <w:hyperlink w:anchor="_Toc163737181" w:history="1">
            <w:r w:rsidR="00F758BB" w:rsidRPr="00856BE7">
              <w:rPr>
                <w:rStyle w:val="Hyperlink"/>
                <w:noProof/>
              </w:rPr>
              <w:t>5.1</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Key achievements under the Fourth National STI Strategy 2018–2022</w:t>
            </w:r>
            <w:r w:rsidR="00F758BB">
              <w:rPr>
                <w:noProof/>
                <w:webHidden/>
              </w:rPr>
              <w:tab/>
            </w:r>
            <w:r w:rsidR="00F758BB">
              <w:rPr>
                <w:noProof/>
                <w:webHidden/>
              </w:rPr>
              <w:fldChar w:fldCharType="begin"/>
            </w:r>
            <w:r w:rsidR="00F758BB">
              <w:rPr>
                <w:noProof/>
                <w:webHidden/>
              </w:rPr>
              <w:instrText xml:space="preserve"> PAGEREF _Toc163737181 \h </w:instrText>
            </w:r>
            <w:r w:rsidR="00F758BB">
              <w:rPr>
                <w:noProof/>
                <w:webHidden/>
              </w:rPr>
            </w:r>
            <w:r w:rsidR="00F758BB">
              <w:rPr>
                <w:noProof/>
                <w:webHidden/>
              </w:rPr>
              <w:fldChar w:fldCharType="separate"/>
            </w:r>
            <w:r>
              <w:rPr>
                <w:noProof/>
                <w:webHidden/>
              </w:rPr>
              <w:t>17</w:t>
            </w:r>
            <w:r w:rsidR="00F758BB">
              <w:rPr>
                <w:noProof/>
                <w:webHidden/>
              </w:rPr>
              <w:fldChar w:fldCharType="end"/>
            </w:r>
          </w:hyperlink>
        </w:p>
        <w:p w14:paraId="61530BD2" w14:textId="01B17E4A" w:rsidR="00F758BB" w:rsidRDefault="00853142">
          <w:pPr>
            <w:pStyle w:val="TOC2"/>
            <w:rPr>
              <w:rFonts w:eastAsiaTheme="minorEastAsia" w:cstheme="minorBidi"/>
              <w:b w:val="0"/>
              <w:bCs w:val="0"/>
              <w:smallCaps w:val="0"/>
              <w:noProof/>
              <w:kern w:val="2"/>
              <w:lang w:eastAsia="en-AU"/>
              <w14:ligatures w14:val="standardContextual"/>
            </w:rPr>
          </w:pPr>
          <w:hyperlink w:anchor="_Toc163737182" w:history="1">
            <w:r w:rsidR="00F758BB" w:rsidRPr="00856BE7">
              <w:rPr>
                <w:rStyle w:val="Hyperlink"/>
                <w:noProof/>
              </w:rPr>
              <w:t>5.2</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Areas where further efforts are required</w:t>
            </w:r>
            <w:r w:rsidR="00F758BB">
              <w:rPr>
                <w:noProof/>
                <w:webHidden/>
              </w:rPr>
              <w:tab/>
            </w:r>
            <w:r w:rsidR="00F758BB">
              <w:rPr>
                <w:noProof/>
                <w:webHidden/>
              </w:rPr>
              <w:fldChar w:fldCharType="begin"/>
            </w:r>
            <w:r w:rsidR="00F758BB">
              <w:rPr>
                <w:noProof/>
                <w:webHidden/>
              </w:rPr>
              <w:instrText xml:space="preserve"> PAGEREF _Toc163737182 \h </w:instrText>
            </w:r>
            <w:r w:rsidR="00F758BB">
              <w:rPr>
                <w:noProof/>
                <w:webHidden/>
              </w:rPr>
            </w:r>
            <w:r w:rsidR="00F758BB">
              <w:rPr>
                <w:noProof/>
                <w:webHidden/>
              </w:rPr>
              <w:fldChar w:fldCharType="separate"/>
            </w:r>
            <w:r>
              <w:rPr>
                <w:noProof/>
                <w:webHidden/>
              </w:rPr>
              <w:t>18</w:t>
            </w:r>
            <w:r w:rsidR="00F758BB">
              <w:rPr>
                <w:noProof/>
                <w:webHidden/>
              </w:rPr>
              <w:fldChar w:fldCharType="end"/>
            </w:r>
          </w:hyperlink>
        </w:p>
        <w:p w14:paraId="49F97432" w14:textId="58260D3D"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83" w:history="1">
            <w:r w:rsidR="00F758BB" w:rsidRPr="00856BE7">
              <w:rPr>
                <w:rStyle w:val="Hyperlink"/>
                <w:noProof/>
              </w:rPr>
              <w:t>6.</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rPr>
              <w:t>Measuring progress</w:t>
            </w:r>
            <w:r w:rsidR="00F758BB">
              <w:rPr>
                <w:noProof/>
                <w:webHidden/>
              </w:rPr>
              <w:tab/>
            </w:r>
            <w:r w:rsidR="00F758BB">
              <w:rPr>
                <w:noProof/>
                <w:webHidden/>
              </w:rPr>
              <w:fldChar w:fldCharType="begin"/>
            </w:r>
            <w:r w:rsidR="00F758BB">
              <w:rPr>
                <w:noProof/>
                <w:webHidden/>
              </w:rPr>
              <w:instrText xml:space="preserve"> PAGEREF _Toc163737183 \h </w:instrText>
            </w:r>
            <w:r w:rsidR="00F758BB">
              <w:rPr>
                <w:noProof/>
                <w:webHidden/>
              </w:rPr>
            </w:r>
            <w:r w:rsidR="00F758BB">
              <w:rPr>
                <w:noProof/>
                <w:webHidden/>
              </w:rPr>
              <w:fldChar w:fldCharType="separate"/>
            </w:r>
            <w:r>
              <w:rPr>
                <w:noProof/>
                <w:webHidden/>
              </w:rPr>
              <w:t>19</w:t>
            </w:r>
            <w:r w:rsidR="00F758BB">
              <w:rPr>
                <w:noProof/>
                <w:webHidden/>
              </w:rPr>
              <w:fldChar w:fldCharType="end"/>
            </w:r>
          </w:hyperlink>
        </w:p>
        <w:p w14:paraId="01EB7424" w14:textId="35E9B02A" w:rsidR="00F758BB" w:rsidRDefault="00853142">
          <w:pPr>
            <w:pStyle w:val="TOC2"/>
            <w:rPr>
              <w:rFonts w:eastAsiaTheme="minorEastAsia" w:cstheme="minorBidi"/>
              <w:b w:val="0"/>
              <w:bCs w:val="0"/>
              <w:smallCaps w:val="0"/>
              <w:noProof/>
              <w:kern w:val="2"/>
              <w:lang w:eastAsia="en-AU"/>
              <w14:ligatures w14:val="standardContextual"/>
            </w:rPr>
          </w:pPr>
          <w:hyperlink w:anchor="_Toc163737184" w:history="1">
            <w:r w:rsidR="00F758BB" w:rsidRPr="00856BE7">
              <w:rPr>
                <w:rStyle w:val="Hyperlink"/>
                <w:noProof/>
              </w:rPr>
              <w:t>6.1</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Goals</w:t>
            </w:r>
            <w:r w:rsidR="00F758BB">
              <w:rPr>
                <w:noProof/>
                <w:webHidden/>
              </w:rPr>
              <w:tab/>
            </w:r>
            <w:r w:rsidR="00F758BB">
              <w:rPr>
                <w:noProof/>
                <w:webHidden/>
              </w:rPr>
              <w:fldChar w:fldCharType="begin"/>
            </w:r>
            <w:r w:rsidR="00F758BB">
              <w:rPr>
                <w:noProof/>
                <w:webHidden/>
              </w:rPr>
              <w:instrText xml:space="preserve"> PAGEREF _Toc163737184 \h </w:instrText>
            </w:r>
            <w:r w:rsidR="00F758BB">
              <w:rPr>
                <w:noProof/>
                <w:webHidden/>
              </w:rPr>
            </w:r>
            <w:r w:rsidR="00F758BB">
              <w:rPr>
                <w:noProof/>
                <w:webHidden/>
              </w:rPr>
              <w:fldChar w:fldCharType="separate"/>
            </w:r>
            <w:r>
              <w:rPr>
                <w:noProof/>
                <w:webHidden/>
              </w:rPr>
              <w:t>19</w:t>
            </w:r>
            <w:r w:rsidR="00F758BB">
              <w:rPr>
                <w:noProof/>
                <w:webHidden/>
              </w:rPr>
              <w:fldChar w:fldCharType="end"/>
            </w:r>
          </w:hyperlink>
        </w:p>
        <w:p w14:paraId="40D3319D" w14:textId="734A591F"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85" w:history="1">
            <w:r w:rsidR="00F758BB" w:rsidRPr="00856BE7">
              <w:rPr>
                <w:rStyle w:val="Hyperlink"/>
                <w:noProof/>
              </w:rPr>
              <w:t>7.</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rPr>
              <w:t>Priority populations and settings</w:t>
            </w:r>
            <w:r w:rsidR="00F758BB">
              <w:rPr>
                <w:noProof/>
                <w:webHidden/>
              </w:rPr>
              <w:tab/>
            </w:r>
            <w:r w:rsidR="00F758BB">
              <w:rPr>
                <w:noProof/>
                <w:webHidden/>
              </w:rPr>
              <w:fldChar w:fldCharType="begin"/>
            </w:r>
            <w:r w:rsidR="00F758BB">
              <w:rPr>
                <w:noProof/>
                <w:webHidden/>
              </w:rPr>
              <w:instrText xml:space="preserve"> PAGEREF _Toc163737185 \h </w:instrText>
            </w:r>
            <w:r w:rsidR="00F758BB">
              <w:rPr>
                <w:noProof/>
                <w:webHidden/>
              </w:rPr>
            </w:r>
            <w:r w:rsidR="00F758BB">
              <w:rPr>
                <w:noProof/>
                <w:webHidden/>
              </w:rPr>
              <w:fldChar w:fldCharType="separate"/>
            </w:r>
            <w:r>
              <w:rPr>
                <w:noProof/>
                <w:webHidden/>
              </w:rPr>
              <w:t>22</w:t>
            </w:r>
            <w:r w:rsidR="00F758BB">
              <w:rPr>
                <w:noProof/>
                <w:webHidden/>
              </w:rPr>
              <w:fldChar w:fldCharType="end"/>
            </w:r>
          </w:hyperlink>
        </w:p>
        <w:p w14:paraId="01233825" w14:textId="5FBE5187" w:rsidR="00F758BB" w:rsidRDefault="00853142">
          <w:pPr>
            <w:pStyle w:val="TOC2"/>
            <w:rPr>
              <w:rFonts w:eastAsiaTheme="minorEastAsia" w:cstheme="minorBidi"/>
              <w:b w:val="0"/>
              <w:bCs w:val="0"/>
              <w:smallCaps w:val="0"/>
              <w:noProof/>
              <w:kern w:val="2"/>
              <w:lang w:eastAsia="en-AU"/>
              <w14:ligatures w14:val="standardContextual"/>
            </w:rPr>
          </w:pPr>
          <w:hyperlink w:anchor="_Toc163737186" w:history="1">
            <w:r w:rsidR="00F758BB" w:rsidRPr="00856BE7">
              <w:rPr>
                <w:rStyle w:val="Hyperlink"/>
                <w:rFonts w:ascii="Arial" w:hAnsi="Arial" w:cs="Arial"/>
                <w:noProof/>
              </w:rPr>
              <w:t>7.1 Priority populations</w:t>
            </w:r>
            <w:r w:rsidR="00F758BB">
              <w:rPr>
                <w:noProof/>
                <w:webHidden/>
              </w:rPr>
              <w:tab/>
            </w:r>
            <w:r w:rsidR="00F758BB">
              <w:rPr>
                <w:noProof/>
                <w:webHidden/>
              </w:rPr>
              <w:fldChar w:fldCharType="begin"/>
            </w:r>
            <w:r w:rsidR="00F758BB">
              <w:rPr>
                <w:noProof/>
                <w:webHidden/>
              </w:rPr>
              <w:instrText xml:space="preserve"> PAGEREF _Toc163737186 \h </w:instrText>
            </w:r>
            <w:r w:rsidR="00F758BB">
              <w:rPr>
                <w:noProof/>
                <w:webHidden/>
              </w:rPr>
            </w:r>
            <w:r w:rsidR="00F758BB">
              <w:rPr>
                <w:noProof/>
                <w:webHidden/>
              </w:rPr>
              <w:fldChar w:fldCharType="separate"/>
            </w:r>
            <w:r>
              <w:rPr>
                <w:noProof/>
                <w:webHidden/>
              </w:rPr>
              <w:t>22</w:t>
            </w:r>
            <w:r w:rsidR="00F758BB">
              <w:rPr>
                <w:noProof/>
                <w:webHidden/>
              </w:rPr>
              <w:fldChar w:fldCharType="end"/>
            </w:r>
          </w:hyperlink>
        </w:p>
        <w:p w14:paraId="3F2DA155" w14:textId="015EF37C" w:rsidR="00F758BB" w:rsidRDefault="00853142">
          <w:pPr>
            <w:pStyle w:val="TOC2"/>
            <w:rPr>
              <w:rFonts w:eastAsiaTheme="minorEastAsia" w:cstheme="minorBidi"/>
              <w:b w:val="0"/>
              <w:bCs w:val="0"/>
              <w:smallCaps w:val="0"/>
              <w:noProof/>
              <w:kern w:val="2"/>
              <w:lang w:eastAsia="en-AU"/>
              <w14:ligatures w14:val="standardContextual"/>
            </w:rPr>
          </w:pPr>
          <w:hyperlink w:anchor="_Toc163737187" w:history="1">
            <w:r w:rsidR="00F758BB" w:rsidRPr="00856BE7">
              <w:rPr>
                <w:rStyle w:val="Hyperlink"/>
                <w:rFonts w:ascii="Arial" w:hAnsi="Arial" w:cs="Arial"/>
                <w:noProof/>
              </w:rPr>
              <w:t>7.2 Priority settings</w:t>
            </w:r>
            <w:r w:rsidR="00F758BB">
              <w:rPr>
                <w:noProof/>
                <w:webHidden/>
              </w:rPr>
              <w:tab/>
            </w:r>
            <w:r w:rsidR="00F758BB">
              <w:rPr>
                <w:noProof/>
                <w:webHidden/>
              </w:rPr>
              <w:fldChar w:fldCharType="begin"/>
            </w:r>
            <w:r w:rsidR="00F758BB">
              <w:rPr>
                <w:noProof/>
                <w:webHidden/>
              </w:rPr>
              <w:instrText xml:space="preserve"> PAGEREF _Toc163737187 \h </w:instrText>
            </w:r>
            <w:r w:rsidR="00F758BB">
              <w:rPr>
                <w:noProof/>
                <w:webHidden/>
              </w:rPr>
            </w:r>
            <w:r w:rsidR="00F758BB">
              <w:rPr>
                <w:noProof/>
                <w:webHidden/>
              </w:rPr>
              <w:fldChar w:fldCharType="separate"/>
            </w:r>
            <w:r>
              <w:rPr>
                <w:noProof/>
                <w:webHidden/>
              </w:rPr>
              <w:t>28</w:t>
            </w:r>
            <w:r w:rsidR="00F758BB">
              <w:rPr>
                <w:noProof/>
                <w:webHidden/>
              </w:rPr>
              <w:fldChar w:fldCharType="end"/>
            </w:r>
          </w:hyperlink>
        </w:p>
        <w:p w14:paraId="54931511" w14:textId="166F1ED8"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88" w:history="1">
            <w:r w:rsidR="00F758BB" w:rsidRPr="00856BE7">
              <w:rPr>
                <w:rStyle w:val="Hyperlink"/>
                <w:noProof/>
              </w:rPr>
              <w:t>8.</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rPr>
              <w:t>Priority areas for action</w:t>
            </w:r>
            <w:r w:rsidR="00F758BB">
              <w:rPr>
                <w:noProof/>
                <w:webHidden/>
              </w:rPr>
              <w:tab/>
            </w:r>
            <w:r w:rsidR="00F758BB">
              <w:rPr>
                <w:noProof/>
                <w:webHidden/>
              </w:rPr>
              <w:fldChar w:fldCharType="begin"/>
            </w:r>
            <w:r w:rsidR="00F758BB">
              <w:rPr>
                <w:noProof/>
                <w:webHidden/>
              </w:rPr>
              <w:instrText xml:space="preserve"> PAGEREF _Toc163737188 \h </w:instrText>
            </w:r>
            <w:r w:rsidR="00F758BB">
              <w:rPr>
                <w:noProof/>
                <w:webHidden/>
              </w:rPr>
            </w:r>
            <w:r w:rsidR="00F758BB">
              <w:rPr>
                <w:noProof/>
                <w:webHidden/>
              </w:rPr>
              <w:fldChar w:fldCharType="separate"/>
            </w:r>
            <w:r>
              <w:rPr>
                <w:noProof/>
                <w:webHidden/>
              </w:rPr>
              <w:t>31</w:t>
            </w:r>
            <w:r w:rsidR="00F758BB">
              <w:rPr>
                <w:noProof/>
                <w:webHidden/>
              </w:rPr>
              <w:fldChar w:fldCharType="end"/>
            </w:r>
          </w:hyperlink>
        </w:p>
        <w:p w14:paraId="299C14A7" w14:textId="35032EEF" w:rsidR="00F758BB" w:rsidRDefault="00853142">
          <w:pPr>
            <w:pStyle w:val="TOC2"/>
            <w:rPr>
              <w:rFonts w:eastAsiaTheme="minorEastAsia" w:cstheme="minorBidi"/>
              <w:b w:val="0"/>
              <w:bCs w:val="0"/>
              <w:smallCaps w:val="0"/>
              <w:noProof/>
              <w:kern w:val="2"/>
              <w:lang w:eastAsia="en-AU"/>
              <w14:ligatures w14:val="standardContextual"/>
            </w:rPr>
          </w:pPr>
          <w:hyperlink w:anchor="_Toc163737189" w:history="1">
            <w:r w:rsidR="00F758BB" w:rsidRPr="00856BE7">
              <w:rPr>
                <w:rStyle w:val="Hyperlink"/>
                <w:rFonts w:ascii="Arial" w:hAnsi="Arial" w:cs="Arial"/>
                <w:noProof/>
              </w:rPr>
              <w:t>8.1</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Integrated primary care</w:t>
            </w:r>
            <w:r w:rsidR="00F758BB">
              <w:rPr>
                <w:noProof/>
                <w:webHidden/>
              </w:rPr>
              <w:tab/>
            </w:r>
            <w:r w:rsidR="00F758BB">
              <w:rPr>
                <w:noProof/>
                <w:webHidden/>
              </w:rPr>
              <w:fldChar w:fldCharType="begin"/>
            </w:r>
            <w:r w:rsidR="00F758BB">
              <w:rPr>
                <w:noProof/>
                <w:webHidden/>
              </w:rPr>
              <w:instrText xml:space="preserve"> PAGEREF _Toc163737189 \h </w:instrText>
            </w:r>
            <w:r w:rsidR="00F758BB">
              <w:rPr>
                <w:noProof/>
                <w:webHidden/>
              </w:rPr>
            </w:r>
            <w:r w:rsidR="00F758BB">
              <w:rPr>
                <w:noProof/>
                <w:webHidden/>
              </w:rPr>
              <w:fldChar w:fldCharType="separate"/>
            </w:r>
            <w:r>
              <w:rPr>
                <w:noProof/>
                <w:webHidden/>
              </w:rPr>
              <w:t>31</w:t>
            </w:r>
            <w:r w:rsidR="00F758BB">
              <w:rPr>
                <w:noProof/>
                <w:webHidden/>
              </w:rPr>
              <w:fldChar w:fldCharType="end"/>
            </w:r>
          </w:hyperlink>
        </w:p>
        <w:p w14:paraId="63D11E96" w14:textId="7E8556F0" w:rsidR="00F758BB" w:rsidRDefault="00853142">
          <w:pPr>
            <w:pStyle w:val="TOC2"/>
            <w:rPr>
              <w:rFonts w:eastAsiaTheme="minorEastAsia" w:cstheme="minorBidi"/>
              <w:b w:val="0"/>
              <w:bCs w:val="0"/>
              <w:smallCaps w:val="0"/>
              <w:noProof/>
              <w:kern w:val="2"/>
              <w:lang w:eastAsia="en-AU"/>
              <w14:ligatures w14:val="standardContextual"/>
            </w:rPr>
          </w:pPr>
          <w:hyperlink w:anchor="_Toc163737190" w:history="1">
            <w:r w:rsidR="00F758BB" w:rsidRPr="00856BE7">
              <w:rPr>
                <w:rStyle w:val="Hyperlink"/>
                <w:rFonts w:ascii="Arial" w:hAnsi="Arial" w:cs="Arial"/>
                <w:noProof/>
              </w:rPr>
              <w:t>8.2</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Workforce development</w:t>
            </w:r>
            <w:r w:rsidR="00F758BB">
              <w:rPr>
                <w:noProof/>
                <w:webHidden/>
              </w:rPr>
              <w:tab/>
            </w:r>
            <w:r w:rsidR="00F758BB">
              <w:rPr>
                <w:noProof/>
                <w:webHidden/>
              </w:rPr>
              <w:fldChar w:fldCharType="begin"/>
            </w:r>
            <w:r w:rsidR="00F758BB">
              <w:rPr>
                <w:noProof/>
                <w:webHidden/>
              </w:rPr>
              <w:instrText xml:space="preserve"> PAGEREF _Toc163737190 \h </w:instrText>
            </w:r>
            <w:r w:rsidR="00F758BB">
              <w:rPr>
                <w:noProof/>
                <w:webHidden/>
              </w:rPr>
            </w:r>
            <w:r w:rsidR="00F758BB">
              <w:rPr>
                <w:noProof/>
                <w:webHidden/>
              </w:rPr>
              <w:fldChar w:fldCharType="separate"/>
            </w:r>
            <w:r>
              <w:rPr>
                <w:noProof/>
                <w:webHidden/>
              </w:rPr>
              <w:t>33</w:t>
            </w:r>
            <w:r w:rsidR="00F758BB">
              <w:rPr>
                <w:noProof/>
                <w:webHidden/>
              </w:rPr>
              <w:fldChar w:fldCharType="end"/>
            </w:r>
          </w:hyperlink>
        </w:p>
        <w:p w14:paraId="688F4B1D" w14:textId="2F260CE0" w:rsidR="00F758BB" w:rsidRDefault="00853142">
          <w:pPr>
            <w:pStyle w:val="TOC2"/>
            <w:rPr>
              <w:rFonts w:eastAsiaTheme="minorEastAsia" w:cstheme="minorBidi"/>
              <w:b w:val="0"/>
              <w:bCs w:val="0"/>
              <w:smallCaps w:val="0"/>
              <w:noProof/>
              <w:kern w:val="2"/>
              <w:lang w:eastAsia="en-AU"/>
              <w14:ligatures w14:val="standardContextual"/>
            </w:rPr>
          </w:pPr>
          <w:hyperlink w:anchor="_Toc163737191" w:history="1">
            <w:r w:rsidR="00F758BB" w:rsidRPr="00856BE7">
              <w:rPr>
                <w:rStyle w:val="Hyperlink"/>
                <w:rFonts w:ascii="Arial" w:hAnsi="Arial" w:cs="Arial"/>
                <w:noProof/>
              </w:rPr>
              <w:t>8.3</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Education and Awareness</w:t>
            </w:r>
            <w:r w:rsidR="00F758BB">
              <w:rPr>
                <w:noProof/>
                <w:webHidden/>
              </w:rPr>
              <w:tab/>
            </w:r>
            <w:r w:rsidR="00F758BB">
              <w:rPr>
                <w:noProof/>
                <w:webHidden/>
              </w:rPr>
              <w:fldChar w:fldCharType="begin"/>
            </w:r>
            <w:r w:rsidR="00F758BB">
              <w:rPr>
                <w:noProof/>
                <w:webHidden/>
              </w:rPr>
              <w:instrText xml:space="preserve"> PAGEREF _Toc163737191 \h </w:instrText>
            </w:r>
            <w:r w:rsidR="00F758BB">
              <w:rPr>
                <w:noProof/>
                <w:webHidden/>
              </w:rPr>
            </w:r>
            <w:r w:rsidR="00F758BB">
              <w:rPr>
                <w:noProof/>
                <w:webHidden/>
              </w:rPr>
              <w:fldChar w:fldCharType="separate"/>
            </w:r>
            <w:r>
              <w:rPr>
                <w:noProof/>
                <w:webHidden/>
              </w:rPr>
              <w:t>35</w:t>
            </w:r>
            <w:r w:rsidR="00F758BB">
              <w:rPr>
                <w:noProof/>
                <w:webHidden/>
              </w:rPr>
              <w:fldChar w:fldCharType="end"/>
            </w:r>
          </w:hyperlink>
        </w:p>
        <w:p w14:paraId="5C418395" w14:textId="6D6D07B6" w:rsidR="00F758BB" w:rsidRDefault="00853142">
          <w:pPr>
            <w:pStyle w:val="TOC2"/>
            <w:rPr>
              <w:rFonts w:eastAsiaTheme="minorEastAsia" w:cstheme="minorBidi"/>
              <w:b w:val="0"/>
              <w:bCs w:val="0"/>
              <w:smallCaps w:val="0"/>
              <w:noProof/>
              <w:kern w:val="2"/>
              <w:lang w:eastAsia="en-AU"/>
              <w14:ligatures w14:val="standardContextual"/>
            </w:rPr>
          </w:pPr>
          <w:hyperlink w:anchor="_Toc163737192" w:history="1">
            <w:r w:rsidR="00F758BB" w:rsidRPr="00856BE7">
              <w:rPr>
                <w:rStyle w:val="Hyperlink"/>
                <w:rFonts w:ascii="Arial" w:hAnsi="Arial" w:cs="Arial"/>
                <w:noProof/>
              </w:rPr>
              <w:t>8.4</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Prevention, testing and treatment</w:t>
            </w:r>
            <w:r w:rsidR="00F758BB">
              <w:rPr>
                <w:noProof/>
                <w:webHidden/>
              </w:rPr>
              <w:tab/>
            </w:r>
            <w:r w:rsidR="00F758BB">
              <w:rPr>
                <w:noProof/>
                <w:webHidden/>
              </w:rPr>
              <w:fldChar w:fldCharType="begin"/>
            </w:r>
            <w:r w:rsidR="00F758BB">
              <w:rPr>
                <w:noProof/>
                <w:webHidden/>
              </w:rPr>
              <w:instrText xml:space="preserve"> PAGEREF _Toc163737192 \h </w:instrText>
            </w:r>
            <w:r w:rsidR="00F758BB">
              <w:rPr>
                <w:noProof/>
                <w:webHidden/>
              </w:rPr>
            </w:r>
            <w:r w:rsidR="00F758BB">
              <w:rPr>
                <w:noProof/>
                <w:webHidden/>
              </w:rPr>
              <w:fldChar w:fldCharType="separate"/>
            </w:r>
            <w:r>
              <w:rPr>
                <w:noProof/>
                <w:webHidden/>
              </w:rPr>
              <w:t>38</w:t>
            </w:r>
            <w:r w:rsidR="00F758BB">
              <w:rPr>
                <w:noProof/>
                <w:webHidden/>
              </w:rPr>
              <w:fldChar w:fldCharType="end"/>
            </w:r>
          </w:hyperlink>
        </w:p>
        <w:p w14:paraId="5861C21F" w14:textId="13F57333" w:rsidR="00F758BB" w:rsidRDefault="00853142">
          <w:pPr>
            <w:pStyle w:val="TOC2"/>
            <w:rPr>
              <w:rFonts w:eastAsiaTheme="minorEastAsia" w:cstheme="minorBidi"/>
              <w:b w:val="0"/>
              <w:bCs w:val="0"/>
              <w:smallCaps w:val="0"/>
              <w:noProof/>
              <w:kern w:val="2"/>
              <w:lang w:eastAsia="en-AU"/>
              <w14:ligatures w14:val="standardContextual"/>
            </w:rPr>
          </w:pPr>
          <w:hyperlink w:anchor="_Toc163737193" w:history="1">
            <w:r w:rsidR="00F758BB" w:rsidRPr="00856BE7">
              <w:rPr>
                <w:rStyle w:val="Hyperlink"/>
                <w:rFonts w:ascii="Arial" w:hAnsi="Arial" w:cs="Arial"/>
                <w:noProof/>
              </w:rPr>
              <w:t>8.5</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Equity and Access</w:t>
            </w:r>
            <w:r w:rsidR="00F758BB">
              <w:rPr>
                <w:noProof/>
                <w:webHidden/>
              </w:rPr>
              <w:tab/>
            </w:r>
            <w:r w:rsidR="00F758BB">
              <w:rPr>
                <w:noProof/>
                <w:webHidden/>
              </w:rPr>
              <w:fldChar w:fldCharType="begin"/>
            </w:r>
            <w:r w:rsidR="00F758BB">
              <w:rPr>
                <w:noProof/>
                <w:webHidden/>
              </w:rPr>
              <w:instrText xml:space="preserve"> PAGEREF _Toc163737193 \h </w:instrText>
            </w:r>
            <w:r w:rsidR="00F758BB">
              <w:rPr>
                <w:noProof/>
                <w:webHidden/>
              </w:rPr>
            </w:r>
            <w:r w:rsidR="00F758BB">
              <w:rPr>
                <w:noProof/>
                <w:webHidden/>
              </w:rPr>
              <w:fldChar w:fldCharType="separate"/>
            </w:r>
            <w:r>
              <w:rPr>
                <w:noProof/>
                <w:webHidden/>
              </w:rPr>
              <w:t>42</w:t>
            </w:r>
            <w:r w:rsidR="00F758BB">
              <w:rPr>
                <w:noProof/>
                <w:webHidden/>
              </w:rPr>
              <w:fldChar w:fldCharType="end"/>
            </w:r>
          </w:hyperlink>
        </w:p>
        <w:p w14:paraId="3960F4AE" w14:textId="24926160" w:rsidR="00F758BB" w:rsidRDefault="00853142">
          <w:pPr>
            <w:pStyle w:val="TOC2"/>
            <w:rPr>
              <w:rFonts w:eastAsiaTheme="minorEastAsia" w:cstheme="minorBidi"/>
              <w:b w:val="0"/>
              <w:bCs w:val="0"/>
              <w:smallCaps w:val="0"/>
              <w:noProof/>
              <w:kern w:val="2"/>
              <w:lang w:eastAsia="en-AU"/>
              <w14:ligatures w14:val="standardContextual"/>
            </w:rPr>
          </w:pPr>
          <w:hyperlink w:anchor="_Toc163737194" w:history="1">
            <w:r w:rsidR="00F758BB" w:rsidRPr="00856BE7">
              <w:rPr>
                <w:rStyle w:val="Hyperlink"/>
                <w:rFonts w:ascii="Arial" w:hAnsi="Arial" w:cs="Arial"/>
                <w:noProof/>
              </w:rPr>
              <w:t>8.6</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 xml:space="preserve">Data, Surveillance, Research and Evaluation </w:t>
            </w:r>
            <w:r w:rsidR="00F758BB">
              <w:rPr>
                <w:noProof/>
                <w:webHidden/>
              </w:rPr>
              <w:tab/>
            </w:r>
            <w:r w:rsidR="00F758BB">
              <w:rPr>
                <w:noProof/>
                <w:webHidden/>
              </w:rPr>
              <w:fldChar w:fldCharType="begin"/>
            </w:r>
            <w:r w:rsidR="00F758BB">
              <w:rPr>
                <w:noProof/>
                <w:webHidden/>
              </w:rPr>
              <w:instrText xml:space="preserve"> PAGEREF _Toc163737194 \h </w:instrText>
            </w:r>
            <w:r w:rsidR="00F758BB">
              <w:rPr>
                <w:noProof/>
                <w:webHidden/>
              </w:rPr>
            </w:r>
            <w:r w:rsidR="00F758BB">
              <w:rPr>
                <w:noProof/>
                <w:webHidden/>
              </w:rPr>
              <w:fldChar w:fldCharType="separate"/>
            </w:r>
            <w:r>
              <w:rPr>
                <w:noProof/>
                <w:webHidden/>
              </w:rPr>
              <w:t>44</w:t>
            </w:r>
            <w:r w:rsidR="00F758BB">
              <w:rPr>
                <w:noProof/>
                <w:webHidden/>
              </w:rPr>
              <w:fldChar w:fldCharType="end"/>
            </w:r>
          </w:hyperlink>
        </w:p>
        <w:p w14:paraId="579793BF" w14:textId="223344B0"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95" w:history="1">
            <w:r w:rsidR="00F758BB" w:rsidRPr="00856BE7">
              <w:rPr>
                <w:rStyle w:val="Hyperlink"/>
                <w:noProof/>
              </w:rPr>
              <w:t>9.</w:t>
            </w:r>
            <w:r w:rsidR="00F758BB">
              <w:rPr>
                <w:rFonts w:asciiTheme="minorHAnsi" w:eastAsiaTheme="minorEastAsia" w:hAnsiTheme="minorHAnsi" w:cstheme="minorBidi"/>
                <w:b w:val="0"/>
                <w:bCs w:val="0"/>
                <w:noProof/>
                <w:kern w:val="2"/>
                <w:u w:val="none"/>
                <w:lang w:eastAsia="en-AU"/>
                <w14:ligatures w14:val="standardContextual"/>
              </w:rPr>
              <w:tab/>
            </w:r>
            <w:r w:rsidR="00F758BB" w:rsidRPr="00856BE7">
              <w:rPr>
                <w:rStyle w:val="Hyperlink"/>
                <w:noProof/>
              </w:rPr>
              <w:t>Implementing this strategy</w:t>
            </w:r>
            <w:r w:rsidR="00F758BB">
              <w:rPr>
                <w:noProof/>
                <w:webHidden/>
              </w:rPr>
              <w:tab/>
            </w:r>
            <w:r w:rsidR="00F758BB">
              <w:rPr>
                <w:noProof/>
                <w:webHidden/>
              </w:rPr>
              <w:fldChar w:fldCharType="begin"/>
            </w:r>
            <w:r w:rsidR="00F758BB">
              <w:rPr>
                <w:noProof/>
                <w:webHidden/>
              </w:rPr>
              <w:instrText xml:space="preserve"> PAGEREF _Toc163737195 \h </w:instrText>
            </w:r>
            <w:r w:rsidR="00F758BB">
              <w:rPr>
                <w:noProof/>
                <w:webHidden/>
              </w:rPr>
            </w:r>
            <w:r w:rsidR="00F758BB">
              <w:rPr>
                <w:noProof/>
                <w:webHidden/>
              </w:rPr>
              <w:fldChar w:fldCharType="separate"/>
            </w:r>
            <w:r>
              <w:rPr>
                <w:noProof/>
                <w:webHidden/>
              </w:rPr>
              <w:t>46</w:t>
            </w:r>
            <w:r w:rsidR="00F758BB">
              <w:rPr>
                <w:noProof/>
                <w:webHidden/>
              </w:rPr>
              <w:fldChar w:fldCharType="end"/>
            </w:r>
          </w:hyperlink>
        </w:p>
        <w:p w14:paraId="6D0BECBD" w14:textId="35559684" w:rsidR="00F758BB" w:rsidRDefault="00853142">
          <w:pPr>
            <w:pStyle w:val="TOC2"/>
            <w:rPr>
              <w:rFonts w:eastAsiaTheme="minorEastAsia" w:cstheme="minorBidi"/>
              <w:b w:val="0"/>
              <w:bCs w:val="0"/>
              <w:smallCaps w:val="0"/>
              <w:noProof/>
              <w:kern w:val="2"/>
              <w:lang w:eastAsia="en-AU"/>
              <w14:ligatures w14:val="standardContextual"/>
            </w:rPr>
          </w:pPr>
          <w:hyperlink w:anchor="_Toc163737196" w:history="1">
            <w:r w:rsidR="00F758BB" w:rsidRPr="00856BE7">
              <w:rPr>
                <w:rStyle w:val="Hyperlink"/>
                <w:rFonts w:ascii="Arial" w:hAnsi="Arial" w:cs="Arial"/>
                <w:noProof/>
              </w:rPr>
              <w:t>9.1</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Leadership, partnership, and connections to community</w:t>
            </w:r>
            <w:r w:rsidR="00F758BB">
              <w:rPr>
                <w:noProof/>
                <w:webHidden/>
              </w:rPr>
              <w:tab/>
            </w:r>
            <w:r w:rsidR="00F758BB">
              <w:rPr>
                <w:noProof/>
                <w:webHidden/>
              </w:rPr>
              <w:fldChar w:fldCharType="begin"/>
            </w:r>
            <w:r w:rsidR="00F758BB">
              <w:rPr>
                <w:noProof/>
                <w:webHidden/>
              </w:rPr>
              <w:instrText xml:space="preserve"> PAGEREF _Toc163737196 \h </w:instrText>
            </w:r>
            <w:r w:rsidR="00F758BB">
              <w:rPr>
                <w:noProof/>
                <w:webHidden/>
              </w:rPr>
            </w:r>
            <w:r w:rsidR="00F758BB">
              <w:rPr>
                <w:noProof/>
                <w:webHidden/>
              </w:rPr>
              <w:fldChar w:fldCharType="separate"/>
            </w:r>
            <w:r>
              <w:rPr>
                <w:noProof/>
                <w:webHidden/>
              </w:rPr>
              <w:t>46</w:t>
            </w:r>
            <w:r w:rsidR="00F758BB">
              <w:rPr>
                <w:noProof/>
                <w:webHidden/>
              </w:rPr>
              <w:fldChar w:fldCharType="end"/>
            </w:r>
          </w:hyperlink>
        </w:p>
        <w:p w14:paraId="7D85ED24" w14:textId="46A8EE41" w:rsidR="00F758BB" w:rsidRDefault="00853142">
          <w:pPr>
            <w:pStyle w:val="TOC2"/>
            <w:rPr>
              <w:rFonts w:eastAsiaTheme="minorEastAsia" w:cstheme="minorBidi"/>
              <w:b w:val="0"/>
              <w:bCs w:val="0"/>
              <w:smallCaps w:val="0"/>
              <w:noProof/>
              <w:kern w:val="2"/>
              <w:lang w:eastAsia="en-AU"/>
              <w14:ligatures w14:val="standardContextual"/>
            </w:rPr>
          </w:pPr>
          <w:hyperlink w:anchor="_Toc163737197" w:history="1">
            <w:r w:rsidR="00F758BB" w:rsidRPr="00856BE7">
              <w:rPr>
                <w:rStyle w:val="Hyperlink"/>
                <w:rFonts w:ascii="Arial" w:hAnsi="Arial" w:cs="Arial"/>
                <w:noProof/>
              </w:rPr>
              <w:t>9.2</w:t>
            </w:r>
            <w:r w:rsidR="00F758BB">
              <w:rPr>
                <w:rFonts w:eastAsiaTheme="minorEastAsia" w:cstheme="minorBidi"/>
                <w:b w:val="0"/>
                <w:bCs w:val="0"/>
                <w:smallCaps w:val="0"/>
                <w:noProof/>
                <w:kern w:val="2"/>
                <w:lang w:eastAsia="en-AU"/>
                <w14:ligatures w14:val="standardContextual"/>
              </w:rPr>
              <w:tab/>
            </w:r>
            <w:r w:rsidR="00F758BB" w:rsidRPr="00856BE7">
              <w:rPr>
                <w:rStyle w:val="Hyperlink"/>
                <w:rFonts w:ascii="Arial" w:hAnsi="Arial" w:cs="Arial"/>
                <w:noProof/>
              </w:rPr>
              <w:t>Surveillance and monitoring plan</w:t>
            </w:r>
            <w:r w:rsidR="00F758BB">
              <w:rPr>
                <w:noProof/>
                <w:webHidden/>
              </w:rPr>
              <w:tab/>
            </w:r>
            <w:r w:rsidR="00F758BB">
              <w:rPr>
                <w:noProof/>
                <w:webHidden/>
              </w:rPr>
              <w:fldChar w:fldCharType="begin"/>
            </w:r>
            <w:r w:rsidR="00F758BB">
              <w:rPr>
                <w:noProof/>
                <w:webHidden/>
              </w:rPr>
              <w:instrText xml:space="preserve"> PAGEREF _Toc163737197 \h </w:instrText>
            </w:r>
            <w:r w:rsidR="00F758BB">
              <w:rPr>
                <w:noProof/>
                <w:webHidden/>
              </w:rPr>
            </w:r>
            <w:r w:rsidR="00F758BB">
              <w:rPr>
                <w:noProof/>
                <w:webHidden/>
              </w:rPr>
              <w:fldChar w:fldCharType="separate"/>
            </w:r>
            <w:r>
              <w:rPr>
                <w:noProof/>
                <w:webHidden/>
              </w:rPr>
              <w:t>47</w:t>
            </w:r>
            <w:r w:rsidR="00F758BB">
              <w:rPr>
                <w:noProof/>
                <w:webHidden/>
              </w:rPr>
              <w:fldChar w:fldCharType="end"/>
            </w:r>
          </w:hyperlink>
        </w:p>
        <w:p w14:paraId="15E7803B" w14:textId="13DBECDF"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198" w:history="1">
            <w:r w:rsidR="00F758BB" w:rsidRPr="00856BE7">
              <w:rPr>
                <w:rStyle w:val="Hyperlink"/>
                <w:noProof/>
              </w:rPr>
              <w:t>Appendix A: CASE STUDIES</w:t>
            </w:r>
            <w:r w:rsidR="00F758BB">
              <w:rPr>
                <w:noProof/>
                <w:webHidden/>
              </w:rPr>
              <w:tab/>
            </w:r>
            <w:r w:rsidR="00F758BB">
              <w:rPr>
                <w:noProof/>
                <w:webHidden/>
              </w:rPr>
              <w:fldChar w:fldCharType="begin"/>
            </w:r>
            <w:r w:rsidR="00F758BB">
              <w:rPr>
                <w:noProof/>
                <w:webHidden/>
              </w:rPr>
              <w:instrText xml:space="preserve"> PAGEREF _Toc163737198 \h </w:instrText>
            </w:r>
            <w:r w:rsidR="00F758BB">
              <w:rPr>
                <w:noProof/>
                <w:webHidden/>
              </w:rPr>
            </w:r>
            <w:r w:rsidR="00F758BB">
              <w:rPr>
                <w:noProof/>
                <w:webHidden/>
              </w:rPr>
              <w:fldChar w:fldCharType="separate"/>
            </w:r>
            <w:r>
              <w:rPr>
                <w:noProof/>
                <w:webHidden/>
              </w:rPr>
              <w:t>48</w:t>
            </w:r>
            <w:r w:rsidR="00F758BB">
              <w:rPr>
                <w:noProof/>
                <w:webHidden/>
              </w:rPr>
              <w:fldChar w:fldCharType="end"/>
            </w:r>
          </w:hyperlink>
        </w:p>
        <w:p w14:paraId="6D2F1E8A" w14:textId="5EDA80F3" w:rsidR="00F758BB" w:rsidRDefault="00853142">
          <w:pPr>
            <w:pStyle w:val="TOC2"/>
            <w:rPr>
              <w:rFonts w:eastAsiaTheme="minorEastAsia" w:cstheme="minorBidi"/>
              <w:b w:val="0"/>
              <w:bCs w:val="0"/>
              <w:smallCaps w:val="0"/>
              <w:noProof/>
              <w:kern w:val="2"/>
              <w:lang w:eastAsia="en-AU"/>
              <w14:ligatures w14:val="standardContextual"/>
            </w:rPr>
          </w:pPr>
          <w:hyperlink w:anchor="_Toc163737199" w:history="1">
            <w:r w:rsidR="00F758BB" w:rsidRPr="00856BE7">
              <w:rPr>
                <w:rStyle w:val="Hyperlink"/>
                <w:rFonts w:ascii="Arial" w:hAnsi="Arial" w:cs="Arial"/>
                <w:noProof/>
              </w:rPr>
              <w:t>Integrated primary care</w:t>
            </w:r>
            <w:r w:rsidR="00F758BB">
              <w:rPr>
                <w:noProof/>
                <w:webHidden/>
              </w:rPr>
              <w:tab/>
            </w:r>
            <w:r w:rsidR="00F758BB">
              <w:rPr>
                <w:noProof/>
                <w:webHidden/>
              </w:rPr>
              <w:fldChar w:fldCharType="begin"/>
            </w:r>
            <w:r w:rsidR="00F758BB">
              <w:rPr>
                <w:noProof/>
                <w:webHidden/>
              </w:rPr>
              <w:instrText xml:space="preserve"> PAGEREF _Toc163737199 \h </w:instrText>
            </w:r>
            <w:r w:rsidR="00F758BB">
              <w:rPr>
                <w:noProof/>
                <w:webHidden/>
              </w:rPr>
            </w:r>
            <w:r w:rsidR="00F758BB">
              <w:rPr>
                <w:noProof/>
                <w:webHidden/>
              </w:rPr>
              <w:fldChar w:fldCharType="separate"/>
            </w:r>
            <w:r>
              <w:rPr>
                <w:noProof/>
                <w:webHidden/>
              </w:rPr>
              <w:t>48</w:t>
            </w:r>
            <w:r w:rsidR="00F758BB">
              <w:rPr>
                <w:noProof/>
                <w:webHidden/>
              </w:rPr>
              <w:fldChar w:fldCharType="end"/>
            </w:r>
          </w:hyperlink>
        </w:p>
        <w:p w14:paraId="43B37C6F" w14:textId="15E40729" w:rsidR="00F758BB" w:rsidRDefault="00853142">
          <w:pPr>
            <w:pStyle w:val="TOC2"/>
            <w:rPr>
              <w:rFonts w:eastAsiaTheme="minorEastAsia" w:cstheme="minorBidi"/>
              <w:b w:val="0"/>
              <w:bCs w:val="0"/>
              <w:smallCaps w:val="0"/>
              <w:noProof/>
              <w:kern w:val="2"/>
              <w:lang w:eastAsia="en-AU"/>
              <w14:ligatures w14:val="standardContextual"/>
            </w:rPr>
          </w:pPr>
          <w:hyperlink w:anchor="_Toc163737200" w:history="1">
            <w:r w:rsidR="00F758BB" w:rsidRPr="00856BE7">
              <w:rPr>
                <w:rStyle w:val="Hyperlink"/>
                <w:rFonts w:ascii="Arial" w:hAnsi="Arial" w:cs="Arial"/>
                <w:noProof/>
              </w:rPr>
              <w:t>Workforce development</w:t>
            </w:r>
            <w:r w:rsidR="00F758BB">
              <w:rPr>
                <w:noProof/>
                <w:webHidden/>
              </w:rPr>
              <w:tab/>
            </w:r>
            <w:r w:rsidR="00F758BB">
              <w:rPr>
                <w:noProof/>
                <w:webHidden/>
              </w:rPr>
              <w:fldChar w:fldCharType="begin"/>
            </w:r>
            <w:r w:rsidR="00F758BB">
              <w:rPr>
                <w:noProof/>
                <w:webHidden/>
              </w:rPr>
              <w:instrText xml:space="preserve"> PAGEREF _Toc163737200 \h </w:instrText>
            </w:r>
            <w:r w:rsidR="00F758BB">
              <w:rPr>
                <w:noProof/>
                <w:webHidden/>
              </w:rPr>
            </w:r>
            <w:r w:rsidR="00F758BB">
              <w:rPr>
                <w:noProof/>
                <w:webHidden/>
              </w:rPr>
              <w:fldChar w:fldCharType="separate"/>
            </w:r>
            <w:r>
              <w:rPr>
                <w:noProof/>
                <w:webHidden/>
              </w:rPr>
              <w:t>50</w:t>
            </w:r>
            <w:r w:rsidR="00F758BB">
              <w:rPr>
                <w:noProof/>
                <w:webHidden/>
              </w:rPr>
              <w:fldChar w:fldCharType="end"/>
            </w:r>
          </w:hyperlink>
        </w:p>
        <w:p w14:paraId="57B9822B" w14:textId="0006FBE0" w:rsidR="00F758BB" w:rsidRDefault="00853142">
          <w:pPr>
            <w:pStyle w:val="TOC2"/>
            <w:rPr>
              <w:rFonts w:eastAsiaTheme="minorEastAsia" w:cstheme="minorBidi"/>
              <w:b w:val="0"/>
              <w:bCs w:val="0"/>
              <w:smallCaps w:val="0"/>
              <w:noProof/>
              <w:kern w:val="2"/>
              <w:lang w:eastAsia="en-AU"/>
              <w14:ligatures w14:val="standardContextual"/>
            </w:rPr>
          </w:pPr>
          <w:hyperlink w:anchor="_Toc163737201" w:history="1">
            <w:r w:rsidR="00F758BB" w:rsidRPr="00856BE7">
              <w:rPr>
                <w:rStyle w:val="Hyperlink"/>
                <w:rFonts w:ascii="Arial" w:hAnsi="Arial" w:cs="Arial"/>
                <w:noProof/>
              </w:rPr>
              <w:t>Education and awareness</w:t>
            </w:r>
            <w:r w:rsidR="00F758BB">
              <w:rPr>
                <w:noProof/>
                <w:webHidden/>
              </w:rPr>
              <w:tab/>
            </w:r>
            <w:r w:rsidR="00F758BB">
              <w:rPr>
                <w:noProof/>
                <w:webHidden/>
              </w:rPr>
              <w:fldChar w:fldCharType="begin"/>
            </w:r>
            <w:r w:rsidR="00F758BB">
              <w:rPr>
                <w:noProof/>
                <w:webHidden/>
              </w:rPr>
              <w:instrText xml:space="preserve"> PAGEREF _Toc163737201 \h </w:instrText>
            </w:r>
            <w:r w:rsidR="00F758BB">
              <w:rPr>
                <w:noProof/>
                <w:webHidden/>
              </w:rPr>
            </w:r>
            <w:r w:rsidR="00F758BB">
              <w:rPr>
                <w:noProof/>
                <w:webHidden/>
              </w:rPr>
              <w:fldChar w:fldCharType="separate"/>
            </w:r>
            <w:r>
              <w:rPr>
                <w:noProof/>
                <w:webHidden/>
              </w:rPr>
              <w:t>51</w:t>
            </w:r>
            <w:r w:rsidR="00F758BB">
              <w:rPr>
                <w:noProof/>
                <w:webHidden/>
              </w:rPr>
              <w:fldChar w:fldCharType="end"/>
            </w:r>
          </w:hyperlink>
        </w:p>
        <w:p w14:paraId="02C38F48" w14:textId="4C53F30E" w:rsidR="00F758BB" w:rsidRDefault="00853142">
          <w:pPr>
            <w:pStyle w:val="TOC2"/>
            <w:rPr>
              <w:rFonts w:eastAsiaTheme="minorEastAsia" w:cstheme="minorBidi"/>
              <w:b w:val="0"/>
              <w:bCs w:val="0"/>
              <w:smallCaps w:val="0"/>
              <w:noProof/>
              <w:kern w:val="2"/>
              <w:lang w:eastAsia="en-AU"/>
              <w14:ligatures w14:val="standardContextual"/>
            </w:rPr>
          </w:pPr>
          <w:hyperlink w:anchor="_Toc163737202" w:history="1">
            <w:r w:rsidR="00F758BB" w:rsidRPr="00856BE7">
              <w:rPr>
                <w:rStyle w:val="Hyperlink"/>
                <w:rFonts w:ascii="Arial" w:hAnsi="Arial" w:cs="Arial"/>
                <w:noProof/>
              </w:rPr>
              <w:t>Prevention, testing, and treatment</w:t>
            </w:r>
            <w:r w:rsidR="00F758BB">
              <w:rPr>
                <w:noProof/>
                <w:webHidden/>
              </w:rPr>
              <w:tab/>
            </w:r>
            <w:r w:rsidR="00F758BB">
              <w:rPr>
                <w:noProof/>
                <w:webHidden/>
              </w:rPr>
              <w:fldChar w:fldCharType="begin"/>
            </w:r>
            <w:r w:rsidR="00F758BB">
              <w:rPr>
                <w:noProof/>
                <w:webHidden/>
              </w:rPr>
              <w:instrText xml:space="preserve"> PAGEREF _Toc163737202 \h </w:instrText>
            </w:r>
            <w:r w:rsidR="00F758BB">
              <w:rPr>
                <w:noProof/>
                <w:webHidden/>
              </w:rPr>
            </w:r>
            <w:r w:rsidR="00F758BB">
              <w:rPr>
                <w:noProof/>
                <w:webHidden/>
              </w:rPr>
              <w:fldChar w:fldCharType="separate"/>
            </w:r>
            <w:r>
              <w:rPr>
                <w:noProof/>
                <w:webHidden/>
              </w:rPr>
              <w:t>53</w:t>
            </w:r>
            <w:r w:rsidR="00F758BB">
              <w:rPr>
                <w:noProof/>
                <w:webHidden/>
              </w:rPr>
              <w:fldChar w:fldCharType="end"/>
            </w:r>
          </w:hyperlink>
        </w:p>
        <w:p w14:paraId="235C6099" w14:textId="5F08B1AE" w:rsidR="00F758BB" w:rsidRDefault="00853142">
          <w:pPr>
            <w:pStyle w:val="TOC2"/>
            <w:rPr>
              <w:rFonts w:eastAsiaTheme="minorEastAsia" w:cstheme="minorBidi"/>
              <w:b w:val="0"/>
              <w:bCs w:val="0"/>
              <w:smallCaps w:val="0"/>
              <w:noProof/>
              <w:kern w:val="2"/>
              <w:lang w:eastAsia="en-AU"/>
              <w14:ligatures w14:val="standardContextual"/>
            </w:rPr>
          </w:pPr>
          <w:hyperlink w:anchor="_Toc163737203" w:history="1">
            <w:r w:rsidR="00F758BB" w:rsidRPr="00856BE7">
              <w:rPr>
                <w:rStyle w:val="Hyperlink"/>
                <w:rFonts w:ascii="Arial" w:hAnsi="Arial" w:cs="Arial"/>
                <w:noProof/>
              </w:rPr>
              <w:t>Equity and access</w:t>
            </w:r>
            <w:r w:rsidR="00F758BB">
              <w:rPr>
                <w:noProof/>
                <w:webHidden/>
              </w:rPr>
              <w:tab/>
            </w:r>
            <w:r w:rsidR="00F758BB">
              <w:rPr>
                <w:noProof/>
                <w:webHidden/>
              </w:rPr>
              <w:fldChar w:fldCharType="begin"/>
            </w:r>
            <w:r w:rsidR="00F758BB">
              <w:rPr>
                <w:noProof/>
                <w:webHidden/>
              </w:rPr>
              <w:instrText xml:space="preserve"> PAGEREF _Toc163737203 \h </w:instrText>
            </w:r>
            <w:r w:rsidR="00F758BB">
              <w:rPr>
                <w:noProof/>
                <w:webHidden/>
              </w:rPr>
            </w:r>
            <w:r w:rsidR="00F758BB">
              <w:rPr>
                <w:noProof/>
                <w:webHidden/>
              </w:rPr>
              <w:fldChar w:fldCharType="separate"/>
            </w:r>
            <w:r>
              <w:rPr>
                <w:noProof/>
                <w:webHidden/>
              </w:rPr>
              <w:t>55</w:t>
            </w:r>
            <w:r w:rsidR="00F758BB">
              <w:rPr>
                <w:noProof/>
                <w:webHidden/>
              </w:rPr>
              <w:fldChar w:fldCharType="end"/>
            </w:r>
          </w:hyperlink>
        </w:p>
        <w:p w14:paraId="29F2A434" w14:textId="74D61501"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204" w:history="1">
            <w:r w:rsidR="00F758BB" w:rsidRPr="00856BE7">
              <w:rPr>
                <w:rStyle w:val="Hyperlink"/>
                <w:noProof/>
              </w:rPr>
              <w:t>Appendix B:  KEY PROGRESS INDICATORS AND TARGETS</w:t>
            </w:r>
            <w:r w:rsidR="00F758BB">
              <w:rPr>
                <w:noProof/>
                <w:webHidden/>
              </w:rPr>
              <w:tab/>
            </w:r>
            <w:r w:rsidR="00F758BB">
              <w:rPr>
                <w:noProof/>
                <w:webHidden/>
              </w:rPr>
              <w:fldChar w:fldCharType="begin"/>
            </w:r>
            <w:r w:rsidR="00F758BB">
              <w:rPr>
                <w:noProof/>
                <w:webHidden/>
              </w:rPr>
              <w:instrText xml:space="preserve"> PAGEREF _Toc163737204 \h </w:instrText>
            </w:r>
            <w:r w:rsidR="00F758BB">
              <w:rPr>
                <w:noProof/>
                <w:webHidden/>
              </w:rPr>
              <w:fldChar w:fldCharType="separate"/>
            </w:r>
            <w:r>
              <w:rPr>
                <w:rFonts w:ascii="Times New Roman" w:hAnsi="Times New Roman"/>
                <w:b w:val="0"/>
                <w:bCs w:val="0"/>
                <w:noProof/>
                <w:webHidden/>
                <w:lang w:val="en-US"/>
              </w:rPr>
              <w:t>Error! Bookmark not defined.</w:t>
            </w:r>
            <w:r w:rsidR="00F758BB">
              <w:rPr>
                <w:noProof/>
                <w:webHidden/>
              </w:rPr>
              <w:fldChar w:fldCharType="end"/>
            </w:r>
          </w:hyperlink>
        </w:p>
        <w:p w14:paraId="5C922878" w14:textId="53EEBC69" w:rsidR="00F758BB" w:rsidRDefault="00853142">
          <w:pPr>
            <w:pStyle w:val="TOC1"/>
            <w:rPr>
              <w:rFonts w:asciiTheme="minorHAnsi" w:eastAsiaTheme="minorEastAsia" w:hAnsiTheme="minorHAnsi" w:cstheme="minorBidi"/>
              <w:b w:val="0"/>
              <w:bCs w:val="0"/>
              <w:noProof/>
              <w:kern w:val="2"/>
              <w:u w:val="none"/>
              <w:lang w:eastAsia="en-AU"/>
              <w14:ligatures w14:val="standardContextual"/>
            </w:rPr>
          </w:pPr>
          <w:hyperlink w:anchor="_Toc163737205" w:history="1">
            <w:r w:rsidR="00F758BB" w:rsidRPr="00856BE7">
              <w:rPr>
                <w:rStyle w:val="Hyperlink"/>
                <w:noProof/>
              </w:rPr>
              <w:t>References</w:t>
            </w:r>
            <w:r w:rsidR="00F758BB">
              <w:rPr>
                <w:noProof/>
                <w:webHidden/>
              </w:rPr>
              <w:tab/>
            </w:r>
            <w:r w:rsidR="00F758BB">
              <w:rPr>
                <w:noProof/>
                <w:webHidden/>
              </w:rPr>
              <w:fldChar w:fldCharType="begin"/>
            </w:r>
            <w:r w:rsidR="00F758BB">
              <w:rPr>
                <w:noProof/>
                <w:webHidden/>
              </w:rPr>
              <w:instrText xml:space="preserve"> PAGEREF _Toc163737205 \h </w:instrText>
            </w:r>
            <w:r w:rsidR="00F758BB">
              <w:rPr>
                <w:noProof/>
                <w:webHidden/>
              </w:rPr>
            </w:r>
            <w:r w:rsidR="00F758BB">
              <w:rPr>
                <w:noProof/>
                <w:webHidden/>
              </w:rPr>
              <w:fldChar w:fldCharType="separate"/>
            </w:r>
            <w:r>
              <w:rPr>
                <w:noProof/>
                <w:webHidden/>
              </w:rPr>
              <w:t>56</w:t>
            </w:r>
            <w:r w:rsidR="00F758BB">
              <w:rPr>
                <w:noProof/>
                <w:webHidden/>
              </w:rPr>
              <w:fldChar w:fldCharType="end"/>
            </w:r>
          </w:hyperlink>
        </w:p>
        <w:p w14:paraId="6AF7DDE9" w14:textId="6E276BAB" w:rsidR="003B2996" w:rsidRDefault="006C29F2">
          <w:pPr>
            <w:rPr>
              <w:rFonts w:eastAsiaTheme="minorEastAsia" w:cs="Times New Roman"/>
              <w:b/>
              <w:sz w:val="21"/>
              <w:szCs w:val="22"/>
            </w:rPr>
          </w:pPr>
          <w:r>
            <w:rPr>
              <w:rFonts w:asciiTheme="minorHAnsi" w:eastAsiaTheme="minorEastAsia" w:hAnsiTheme="minorHAnsi" w:cs="Times New Roman"/>
              <w:bCs/>
              <w:smallCaps/>
              <w:sz w:val="21"/>
              <w:szCs w:val="22"/>
            </w:rPr>
            <w:fldChar w:fldCharType="end"/>
          </w:r>
        </w:p>
      </w:sdtContent>
    </w:sdt>
    <w:p w14:paraId="28B17A75" w14:textId="5444B59B" w:rsidR="003550F4" w:rsidRDefault="003550F4">
      <w:pPr>
        <w:rPr>
          <w:rFonts w:cs="Arial"/>
          <w:b/>
          <w:bCs/>
          <w:color w:val="000000" w:themeColor="text1"/>
          <w:sz w:val="30"/>
          <w:szCs w:val="30"/>
          <w:highlight w:val="white"/>
        </w:rPr>
      </w:pPr>
      <w:r>
        <w:rPr>
          <w:rFonts w:cs="Arial"/>
          <w:b/>
          <w:bCs/>
          <w:color w:val="000000" w:themeColor="text1"/>
          <w:sz w:val="30"/>
          <w:szCs w:val="30"/>
          <w:highlight w:val="white"/>
        </w:rPr>
        <w:br w:type="page"/>
      </w:r>
    </w:p>
    <w:p w14:paraId="7D6A1DB6" w14:textId="1EA485E6" w:rsidR="007B0D63" w:rsidRPr="00442D9E" w:rsidRDefault="007B0D63" w:rsidP="007B0D63">
      <w:pPr>
        <w:jc w:val="both"/>
        <w:rPr>
          <w:rFonts w:cs="Arial"/>
          <w:b/>
          <w:bCs/>
          <w:color w:val="000000" w:themeColor="text1"/>
          <w:sz w:val="22"/>
          <w:szCs w:val="22"/>
          <w:highlight w:val="white"/>
        </w:rPr>
      </w:pPr>
      <w:r w:rsidRPr="00442D9E">
        <w:rPr>
          <w:rFonts w:cs="Arial"/>
          <w:b/>
          <w:bCs/>
          <w:color w:val="000000" w:themeColor="text1"/>
          <w:sz w:val="30"/>
          <w:szCs w:val="30"/>
          <w:highlight w:val="white"/>
        </w:rPr>
        <w:lastRenderedPageBreak/>
        <w:t>Acknowledgement of Country</w:t>
      </w:r>
    </w:p>
    <w:p w14:paraId="05C528FE" w14:textId="77777777" w:rsidR="00533F8D" w:rsidRDefault="007B0D63" w:rsidP="00533F8D">
      <w:pPr>
        <w:jc w:val="both"/>
        <w:rPr>
          <w:rFonts w:cs="Arial"/>
          <w:color w:val="000000" w:themeColor="text1"/>
          <w:sz w:val="22"/>
          <w:szCs w:val="22"/>
          <w:highlight w:val="white"/>
        </w:rPr>
      </w:pPr>
      <w:r w:rsidRPr="3A92360D">
        <w:rPr>
          <w:rFonts w:cs="Arial"/>
          <w:color w:val="000000" w:themeColor="text1"/>
          <w:sz w:val="22"/>
          <w:szCs w:val="22"/>
          <w:highlight w:val="white"/>
        </w:rPr>
        <w:t xml:space="preserve">The Department of Health and Aged Care acknowledges the Traditional Custodians of Country throughout Australia and their connections to land, sea and community. We pay our respect to their Elders past and present and extend that respect to all </w:t>
      </w:r>
      <w:r w:rsidR="009E5590">
        <w:rPr>
          <w:rFonts w:cs="Arial"/>
          <w:color w:val="000000" w:themeColor="text1"/>
          <w:sz w:val="22"/>
          <w:szCs w:val="22"/>
          <w:highlight w:val="white"/>
        </w:rPr>
        <w:t xml:space="preserve">Aboriginal and Torres Strait </w:t>
      </w:r>
      <w:r w:rsidR="00AA3616">
        <w:rPr>
          <w:rFonts w:cs="Arial"/>
          <w:color w:val="000000" w:themeColor="text1"/>
          <w:sz w:val="22"/>
          <w:szCs w:val="22"/>
          <w:highlight w:val="white"/>
        </w:rPr>
        <w:t>Islander</w:t>
      </w:r>
      <w:r w:rsidR="00AA3616" w:rsidRPr="3A92360D">
        <w:rPr>
          <w:rFonts w:cs="Arial"/>
          <w:color w:val="000000" w:themeColor="text1"/>
          <w:sz w:val="22"/>
          <w:szCs w:val="22"/>
          <w:highlight w:val="white"/>
        </w:rPr>
        <w:t xml:space="preserve"> people</w:t>
      </w:r>
      <w:r w:rsidR="005332CC">
        <w:rPr>
          <w:rFonts w:cs="Arial"/>
          <w:color w:val="000000" w:themeColor="text1"/>
          <w:sz w:val="22"/>
          <w:szCs w:val="22"/>
        </w:rPr>
        <w:t>s</w:t>
      </w:r>
      <w:r w:rsidR="00EB5B43">
        <w:rPr>
          <w:rFonts w:cs="Arial"/>
          <w:color w:val="000000" w:themeColor="text1"/>
          <w:sz w:val="22"/>
          <w:szCs w:val="22"/>
          <w:highlight w:val="white"/>
        </w:rPr>
        <w:t>.</w:t>
      </w:r>
    </w:p>
    <w:p w14:paraId="636E7955" w14:textId="55179BE9" w:rsidR="007B0D63" w:rsidRPr="00533F8D" w:rsidRDefault="007B0D63" w:rsidP="00533F8D">
      <w:pPr>
        <w:jc w:val="both"/>
        <w:rPr>
          <w:rFonts w:cs="Arial"/>
          <w:color w:val="000000" w:themeColor="text1"/>
          <w:sz w:val="22"/>
          <w:szCs w:val="22"/>
          <w:highlight w:val="white"/>
        </w:rPr>
      </w:pPr>
      <w:r>
        <w:rPr>
          <w:rFonts w:cs="Arial"/>
          <w:b/>
          <w:bCs/>
          <w:color w:val="000000" w:themeColor="text1"/>
          <w:sz w:val="30"/>
          <w:szCs w:val="30"/>
          <w:highlight w:val="white"/>
        </w:rPr>
        <w:br w:type="page"/>
      </w:r>
    </w:p>
    <w:p w14:paraId="6DDD20A4" w14:textId="01242A11" w:rsidR="0022510B" w:rsidRPr="00442D9E" w:rsidRDefault="0022510B" w:rsidP="00F432AC">
      <w:pPr>
        <w:jc w:val="both"/>
        <w:rPr>
          <w:rFonts w:cs="Arial"/>
          <w:b/>
          <w:bCs/>
          <w:color w:val="000000" w:themeColor="text1"/>
          <w:sz w:val="30"/>
          <w:szCs w:val="30"/>
          <w:highlight w:val="white"/>
        </w:rPr>
      </w:pPr>
      <w:r w:rsidRPr="00442D9E">
        <w:rPr>
          <w:rFonts w:cs="Arial"/>
          <w:b/>
          <w:bCs/>
          <w:color w:val="000000" w:themeColor="text1"/>
          <w:sz w:val="30"/>
          <w:szCs w:val="30"/>
          <w:highlight w:val="white"/>
        </w:rPr>
        <w:lastRenderedPageBreak/>
        <w:t>Acknowledg</w:t>
      </w:r>
      <w:r w:rsidR="001C151C" w:rsidRPr="00442D9E">
        <w:rPr>
          <w:rFonts w:cs="Arial"/>
          <w:b/>
          <w:bCs/>
          <w:color w:val="000000" w:themeColor="text1"/>
          <w:sz w:val="30"/>
          <w:szCs w:val="30"/>
          <w:highlight w:val="white"/>
        </w:rPr>
        <w:t>e</w:t>
      </w:r>
      <w:r w:rsidRPr="00442D9E">
        <w:rPr>
          <w:rFonts w:cs="Arial"/>
          <w:b/>
          <w:bCs/>
          <w:color w:val="000000" w:themeColor="text1"/>
          <w:sz w:val="30"/>
          <w:szCs w:val="30"/>
          <w:highlight w:val="white"/>
        </w:rPr>
        <w:t>ments</w:t>
      </w:r>
      <w:bookmarkEnd w:id="0"/>
      <w:bookmarkEnd w:id="1"/>
    </w:p>
    <w:p w14:paraId="18D67361" w14:textId="77C24899" w:rsidR="00142057" w:rsidRPr="00442D9E" w:rsidRDefault="0058414B" w:rsidP="00533F8D">
      <w:pPr>
        <w:spacing w:after="240"/>
        <w:jc w:val="both"/>
        <w:rPr>
          <w:rFonts w:cs="Arial"/>
          <w:color w:val="000000" w:themeColor="text1"/>
          <w:sz w:val="22"/>
          <w:szCs w:val="22"/>
          <w:highlight w:val="white"/>
        </w:rPr>
      </w:pPr>
      <w:r w:rsidRPr="00442D9E">
        <w:rPr>
          <w:rFonts w:cs="Arial"/>
          <w:color w:val="000000" w:themeColor="text1"/>
          <w:sz w:val="22"/>
          <w:szCs w:val="22"/>
          <w:highlight w:val="white"/>
        </w:rPr>
        <w:t>The development of this strategy has been led by ASHM</w:t>
      </w:r>
      <w:r w:rsidR="002642D3">
        <w:rPr>
          <w:rFonts w:cs="Arial"/>
          <w:color w:val="000000" w:themeColor="text1"/>
          <w:sz w:val="22"/>
          <w:szCs w:val="22"/>
          <w:highlight w:val="white"/>
        </w:rPr>
        <w:t xml:space="preserve"> Health</w:t>
      </w:r>
      <w:r w:rsidRPr="00442D9E">
        <w:rPr>
          <w:rFonts w:cs="Arial"/>
          <w:color w:val="000000" w:themeColor="text1"/>
          <w:sz w:val="22"/>
          <w:szCs w:val="22"/>
          <w:highlight w:val="white"/>
        </w:rPr>
        <w:t>. A small informal working group has guided the process</w:t>
      </w:r>
      <w:r w:rsidR="00CC133D" w:rsidRPr="00442D9E">
        <w:rPr>
          <w:rFonts w:cs="Arial"/>
          <w:color w:val="000000" w:themeColor="text1"/>
          <w:sz w:val="22"/>
          <w:szCs w:val="22"/>
          <w:highlight w:val="white"/>
        </w:rPr>
        <w:t xml:space="preserve">. Members </w:t>
      </w:r>
      <w:r w:rsidRPr="00442D9E">
        <w:rPr>
          <w:rFonts w:cs="Arial"/>
          <w:color w:val="000000" w:themeColor="text1"/>
          <w:sz w:val="22"/>
          <w:szCs w:val="22"/>
          <w:highlight w:val="white"/>
        </w:rPr>
        <w:t>includ</w:t>
      </w:r>
      <w:r w:rsidR="00CC133D" w:rsidRPr="00442D9E">
        <w:rPr>
          <w:rFonts w:cs="Arial"/>
          <w:color w:val="000000" w:themeColor="text1"/>
          <w:sz w:val="22"/>
          <w:szCs w:val="22"/>
          <w:highlight w:val="white"/>
        </w:rPr>
        <w:t>e</w:t>
      </w:r>
      <w:r w:rsidRPr="00442D9E">
        <w:rPr>
          <w:rFonts w:cs="Arial"/>
          <w:color w:val="000000" w:themeColor="text1"/>
          <w:sz w:val="22"/>
          <w:szCs w:val="22"/>
          <w:highlight w:val="white"/>
        </w:rPr>
        <w:t xml:space="preserve"> Alexis Apostolellis, Jessica Michaels, Lucy Stackpool-Moore, </w:t>
      </w:r>
      <w:r w:rsidR="00F96CF7">
        <w:rPr>
          <w:rFonts w:cs="Arial"/>
          <w:color w:val="000000" w:themeColor="text1"/>
          <w:sz w:val="22"/>
          <w:szCs w:val="22"/>
          <w:highlight w:val="white"/>
        </w:rPr>
        <w:t xml:space="preserve">Darryl </w:t>
      </w:r>
      <w:r w:rsidRPr="00442D9E">
        <w:rPr>
          <w:rFonts w:cs="Arial"/>
          <w:color w:val="000000" w:themeColor="text1"/>
          <w:sz w:val="22"/>
          <w:szCs w:val="22"/>
          <w:highlight w:val="white"/>
        </w:rPr>
        <w:t>O’Donnell, Deborah Bateson</w:t>
      </w:r>
      <w:r w:rsidR="006E1D23">
        <w:rPr>
          <w:rFonts w:cs="Arial"/>
          <w:color w:val="000000" w:themeColor="text1"/>
          <w:sz w:val="22"/>
          <w:szCs w:val="22"/>
          <w:highlight w:val="white"/>
        </w:rPr>
        <w:t>,</w:t>
      </w:r>
      <w:r w:rsidRPr="00442D9E">
        <w:rPr>
          <w:rFonts w:cs="Arial"/>
          <w:color w:val="000000" w:themeColor="text1"/>
          <w:sz w:val="22"/>
          <w:szCs w:val="22"/>
          <w:highlight w:val="white"/>
        </w:rPr>
        <w:t xml:space="preserve"> and Vincent Cornelisse. </w:t>
      </w:r>
      <w:r w:rsidR="00B00D51" w:rsidRPr="00442D9E">
        <w:rPr>
          <w:rFonts w:cs="Arial"/>
          <w:color w:val="000000" w:themeColor="text1"/>
          <w:sz w:val="22"/>
          <w:szCs w:val="22"/>
          <w:highlight w:val="white"/>
        </w:rPr>
        <w:t xml:space="preserve">We would also like to acknowledge the many organisations </w:t>
      </w:r>
      <w:r w:rsidR="00D74089" w:rsidRPr="00442D9E">
        <w:rPr>
          <w:rFonts w:cs="Arial"/>
          <w:color w:val="000000" w:themeColor="text1"/>
          <w:sz w:val="22"/>
          <w:szCs w:val="22"/>
          <w:highlight w:val="white"/>
        </w:rPr>
        <w:t xml:space="preserve">and representatives </w:t>
      </w:r>
      <w:r w:rsidR="00B00D51" w:rsidRPr="00442D9E">
        <w:rPr>
          <w:rFonts w:cs="Arial"/>
          <w:color w:val="000000" w:themeColor="text1"/>
          <w:sz w:val="22"/>
          <w:szCs w:val="22"/>
          <w:highlight w:val="white"/>
        </w:rPr>
        <w:t xml:space="preserve">that participated in </w:t>
      </w:r>
      <w:r w:rsidRPr="00442D9E">
        <w:rPr>
          <w:rFonts w:cs="Arial"/>
          <w:color w:val="000000" w:themeColor="text1"/>
          <w:sz w:val="22"/>
          <w:szCs w:val="22"/>
          <w:highlight w:val="white"/>
        </w:rPr>
        <w:t xml:space="preserve">consultations </w:t>
      </w:r>
      <w:r w:rsidR="006F6F3E">
        <w:rPr>
          <w:rFonts w:cs="Arial"/>
          <w:color w:val="000000" w:themeColor="text1"/>
          <w:sz w:val="22"/>
          <w:szCs w:val="22"/>
          <w:highlight w:val="white"/>
        </w:rPr>
        <w:t>during</w:t>
      </w:r>
      <w:r w:rsidR="002372AA" w:rsidRPr="00442D9E">
        <w:rPr>
          <w:rFonts w:cs="Arial"/>
          <w:color w:val="000000" w:themeColor="text1"/>
          <w:sz w:val="22"/>
          <w:szCs w:val="22"/>
          <w:highlight w:val="white"/>
        </w:rPr>
        <w:t xml:space="preserve"> the formative stages of the strategy</w:t>
      </w:r>
      <w:r w:rsidR="00DC28FC" w:rsidRPr="00442D9E">
        <w:rPr>
          <w:rFonts w:cs="Arial"/>
          <w:color w:val="000000" w:themeColor="text1"/>
          <w:sz w:val="22"/>
          <w:szCs w:val="22"/>
          <w:highlight w:val="white"/>
        </w:rPr>
        <w:t>’s</w:t>
      </w:r>
      <w:r w:rsidR="002372AA" w:rsidRPr="00442D9E">
        <w:rPr>
          <w:rFonts w:cs="Arial"/>
          <w:color w:val="000000" w:themeColor="text1"/>
          <w:sz w:val="22"/>
          <w:szCs w:val="22"/>
          <w:highlight w:val="white"/>
        </w:rPr>
        <w:t xml:space="preserve"> </w:t>
      </w:r>
      <w:r w:rsidRPr="00442D9E">
        <w:rPr>
          <w:rFonts w:cs="Arial"/>
          <w:color w:val="000000" w:themeColor="text1"/>
          <w:sz w:val="22"/>
          <w:szCs w:val="22"/>
          <w:highlight w:val="white"/>
        </w:rPr>
        <w:t>development</w:t>
      </w:r>
      <w:r w:rsidR="002372AA" w:rsidRPr="00442D9E">
        <w:rPr>
          <w:rFonts w:cs="Arial"/>
          <w:color w:val="000000" w:themeColor="text1"/>
          <w:sz w:val="22"/>
          <w:szCs w:val="22"/>
          <w:highlight w:val="white"/>
        </w:rPr>
        <w:t xml:space="preserve">, </w:t>
      </w:r>
      <w:r w:rsidR="005F1596" w:rsidRPr="00442D9E">
        <w:rPr>
          <w:rFonts w:cs="Arial"/>
          <w:color w:val="000000" w:themeColor="text1"/>
          <w:sz w:val="22"/>
          <w:szCs w:val="22"/>
          <w:highlight w:val="white"/>
        </w:rPr>
        <w:t xml:space="preserve">workshops to inform </w:t>
      </w:r>
      <w:r w:rsidR="002372AA" w:rsidRPr="00442D9E">
        <w:rPr>
          <w:rFonts w:cs="Arial"/>
          <w:color w:val="000000" w:themeColor="text1"/>
          <w:sz w:val="22"/>
          <w:szCs w:val="22"/>
          <w:highlight w:val="white"/>
        </w:rPr>
        <w:t>indicators</w:t>
      </w:r>
      <w:r w:rsidR="005F1596" w:rsidRPr="00442D9E">
        <w:rPr>
          <w:rFonts w:cs="Arial"/>
          <w:color w:val="000000" w:themeColor="text1"/>
          <w:sz w:val="22"/>
          <w:szCs w:val="22"/>
          <w:highlight w:val="white"/>
        </w:rPr>
        <w:t>, targets</w:t>
      </w:r>
      <w:r w:rsidR="006E1D23">
        <w:rPr>
          <w:rFonts w:cs="Arial"/>
          <w:color w:val="000000" w:themeColor="text1"/>
          <w:sz w:val="22"/>
          <w:szCs w:val="22"/>
          <w:highlight w:val="white"/>
        </w:rPr>
        <w:t>,</w:t>
      </w:r>
      <w:r w:rsidR="005F1596" w:rsidRPr="00442D9E">
        <w:rPr>
          <w:rFonts w:cs="Arial"/>
          <w:color w:val="000000" w:themeColor="text1"/>
          <w:sz w:val="22"/>
          <w:szCs w:val="22"/>
          <w:highlight w:val="white"/>
        </w:rPr>
        <w:t xml:space="preserve"> and priorities, and those that provided feedback through the public consultation process.</w:t>
      </w:r>
      <w:r w:rsidRPr="00442D9E">
        <w:rPr>
          <w:rFonts w:cs="Arial"/>
          <w:color w:val="000000" w:themeColor="text1"/>
          <w:sz w:val="22"/>
          <w:szCs w:val="22"/>
          <w:highlight w:val="white"/>
        </w:rPr>
        <w:t xml:space="preserve"> </w:t>
      </w:r>
      <w:r w:rsidR="00235B3A" w:rsidRPr="00442D9E">
        <w:rPr>
          <w:rFonts w:cs="Arial"/>
          <w:color w:val="000000" w:themeColor="text1"/>
          <w:sz w:val="22"/>
          <w:szCs w:val="22"/>
          <w:highlight w:val="white"/>
        </w:rPr>
        <w:t>Gratitude is expressed to all those who participated in the stakeholder consultations and contributed to the strategy</w:t>
      </w:r>
      <w:r w:rsidR="00E46897" w:rsidRPr="00442D9E">
        <w:rPr>
          <w:rFonts w:cs="Arial"/>
          <w:color w:val="000000" w:themeColor="text1"/>
          <w:sz w:val="22"/>
          <w:szCs w:val="22"/>
          <w:highlight w:val="white"/>
        </w:rPr>
        <w:t>’s</w:t>
      </w:r>
      <w:r w:rsidR="00235B3A" w:rsidRPr="00442D9E">
        <w:rPr>
          <w:rFonts w:cs="Arial"/>
          <w:color w:val="000000" w:themeColor="text1"/>
          <w:sz w:val="22"/>
          <w:szCs w:val="22"/>
          <w:highlight w:val="white"/>
        </w:rPr>
        <w:t xml:space="preserve"> development process.</w:t>
      </w:r>
    </w:p>
    <w:p w14:paraId="28015028" w14:textId="3D10E3F9" w:rsidR="000E2853" w:rsidRPr="00442D9E" w:rsidRDefault="004C26DD" w:rsidP="00397CF0">
      <w:pPr>
        <w:jc w:val="both"/>
        <w:rPr>
          <w:rFonts w:cs="Arial"/>
          <w:b/>
          <w:bCs/>
          <w:color w:val="000000" w:themeColor="text1"/>
          <w:sz w:val="22"/>
          <w:szCs w:val="22"/>
          <w:highlight w:val="white"/>
        </w:rPr>
      </w:pPr>
      <w:r w:rsidRPr="00442D9E">
        <w:rPr>
          <w:rFonts w:cs="Arial"/>
          <w:b/>
          <w:bCs/>
          <w:color w:val="000000" w:themeColor="text1"/>
          <w:sz w:val="30"/>
          <w:szCs w:val="30"/>
          <w:highlight w:val="white"/>
        </w:rPr>
        <w:t xml:space="preserve">Acknowledgement of </w:t>
      </w:r>
      <w:r w:rsidR="00C1190C" w:rsidRPr="00442D9E">
        <w:rPr>
          <w:rFonts w:cs="Arial"/>
          <w:b/>
          <w:bCs/>
          <w:color w:val="000000" w:themeColor="text1"/>
          <w:sz w:val="30"/>
          <w:szCs w:val="30"/>
          <w:highlight w:val="white"/>
        </w:rPr>
        <w:t>lived experience</w:t>
      </w:r>
    </w:p>
    <w:p w14:paraId="09D19948" w14:textId="063D466C" w:rsidR="00C9351A" w:rsidRPr="00442D9E" w:rsidRDefault="00C9351A" w:rsidP="00C9351A">
      <w:pPr>
        <w:jc w:val="both"/>
        <w:rPr>
          <w:rFonts w:cs="Arial"/>
          <w:color w:val="000000" w:themeColor="text1"/>
          <w:sz w:val="22"/>
          <w:szCs w:val="22"/>
          <w:highlight w:val="white"/>
        </w:rPr>
      </w:pPr>
      <w:r w:rsidRPr="00442D9E">
        <w:rPr>
          <w:rFonts w:cs="Arial"/>
          <w:color w:val="000000" w:themeColor="text1"/>
          <w:sz w:val="22"/>
          <w:szCs w:val="22"/>
          <w:highlight w:val="white"/>
        </w:rPr>
        <w:t xml:space="preserve">The Department of Health and Aged Care acknowledges the individual and collective expertise of people with </w:t>
      </w:r>
      <w:r w:rsidR="009C7D8A" w:rsidRPr="00442D9E">
        <w:rPr>
          <w:rFonts w:cs="Arial"/>
          <w:color w:val="000000" w:themeColor="text1"/>
          <w:sz w:val="22"/>
          <w:szCs w:val="22"/>
        </w:rPr>
        <w:t>s</w:t>
      </w:r>
      <w:r w:rsidR="00E670F0" w:rsidRPr="00442D9E">
        <w:rPr>
          <w:rFonts w:cs="Arial"/>
          <w:color w:val="000000" w:themeColor="text1"/>
          <w:sz w:val="22"/>
          <w:szCs w:val="22"/>
        </w:rPr>
        <w:t xml:space="preserve">exually </w:t>
      </w:r>
      <w:r w:rsidR="009C1D25">
        <w:rPr>
          <w:rFonts w:cs="Arial"/>
          <w:color w:val="000000" w:themeColor="text1"/>
          <w:sz w:val="22"/>
          <w:szCs w:val="22"/>
        </w:rPr>
        <w:t>transmissible</w:t>
      </w:r>
      <w:r w:rsidR="00E670F0" w:rsidRPr="00442D9E">
        <w:rPr>
          <w:rFonts w:cs="Arial"/>
          <w:color w:val="000000" w:themeColor="text1"/>
          <w:sz w:val="22"/>
          <w:szCs w:val="22"/>
        </w:rPr>
        <w:t xml:space="preserve"> infections </w:t>
      </w:r>
      <w:r w:rsidRPr="00442D9E">
        <w:rPr>
          <w:rFonts w:cs="Arial"/>
          <w:color w:val="000000" w:themeColor="text1"/>
          <w:sz w:val="22"/>
          <w:szCs w:val="22"/>
          <w:highlight w:val="white"/>
        </w:rPr>
        <w:t>and affected communities. We recognise their vital contribution at all levels for the purpose of learning and growing together to achieve better outcomes for all.</w:t>
      </w:r>
    </w:p>
    <w:p w14:paraId="19896497" w14:textId="77777777" w:rsidR="001E0170" w:rsidRPr="00442D9E" w:rsidRDefault="001E0170">
      <w:pPr>
        <w:rPr>
          <w:rFonts w:cs="Arial"/>
          <w:b/>
          <w:bCs/>
          <w:color w:val="000000" w:themeColor="text1"/>
          <w:sz w:val="30"/>
          <w:szCs w:val="30"/>
          <w:highlight w:val="white"/>
        </w:rPr>
      </w:pPr>
      <w:bookmarkStart w:id="2" w:name="_Hlk129944220"/>
      <w:r w:rsidRPr="00442D9E">
        <w:rPr>
          <w:rFonts w:cs="Arial"/>
          <w:b/>
          <w:bCs/>
          <w:color w:val="000000" w:themeColor="text1"/>
          <w:sz w:val="30"/>
          <w:szCs w:val="30"/>
          <w:highlight w:val="white"/>
        </w:rPr>
        <w:br w:type="page"/>
      </w:r>
    </w:p>
    <w:p w14:paraId="2B1505A2" w14:textId="282C56E5" w:rsidR="001E0170" w:rsidRPr="00D17F26" w:rsidRDefault="001E0170" w:rsidP="00D17F26">
      <w:pPr>
        <w:pStyle w:val="Heading2"/>
        <w:rPr>
          <w:rFonts w:ascii="Arial" w:hAnsi="Arial" w:cs="Arial"/>
          <w:caps/>
          <w:sz w:val="28"/>
          <w:szCs w:val="28"/>
          <w:highlight w:val="white"/>
        </w:rPr>
      </w:pPr>
      <w:bookmarkStart w:id="3" w:name="_Toc138151560"/>
      <w:bookmarkStart w:id="4" w:name="_Toc138173773"/>
      <w:bookmarkStart w:id="5" w:name="_Toc150160948"/>
      <w:bookmarkStart w:id="6" w:name="_Toc163737175"/>
      <w:r w:rsidRPr="00A245CF">
        <w:rPr>
          <w:rFonts w:ascii="Arial" w:hAnsi="Arial" w:cs="Arial"/>
          <w:caps/>
          <w:sz w:val="28"/>
          <w:szCs w:val="28"/>
          <w:highlight w:val="white"/>
        </w:rPr>
        <w:lastRenderedPageBreak/>
        <w:t>Glossary</w:t>
      </w:r>
      <w:bookmarkEnd w:id="3"/>
      <w:bookmarkEnd w:id="4"/>
      <w:bookmarkEnd w:id="5"/>
      <w:bookmarkEnd w:id="6"/>
    </w:p>
    <w:tbl>
      <w:tblPr>
        <w:tblStyle w:val="TableGrid"/>
        <w:tblW w:w="0" w:type="auto"/>
        <w:tblCellMar>
          <w:left w:w="142" w:type="dxa"/>
          <w:right w:w="142" w:type="dxa"/>
        </w:tblCellMar>
        <w:tblLook w:val="04A0" w:firstRow="1" w:lastRow="0" w:firstColumn="1" w:lastColumn="0" w:noHBand="0" w:noVBand="1"/>
      </w:tblPr>
      <w:tblGrid>
        <w:gridCol w:w="2972"/>
        <w:gridCol w:w="6650"/>
      </w:tblGrid>
      <w:tr w:rsidR="00A22DDA" w:rsidRPr="00442D9E" w14:paraId="2802E3CE" w14:textId="77777777" w:rsidTr="003B2996">
        <w:tc>
          <w:tcPr>
            <w:tcW w:w="2972" w:type="dxa"/>
            <w:shd w:val="clear" w:color="auto" w:fill="36424A"/>
            <w:vAlign w:val="center"/>
          </w:tcPr>
          <w:bookmarkEnd w:id="2"/>
          <w:p w14:paraId="088CAA40" w14:textId="77777777" w:rsidR="00A22DDA" w:rsidRPr="00443E01" w:rsidRDefault="00A22DDA" w:rsidP="00C30484">
            <w:pPr>
              <w:spacing w:before="120" w:after="120"/>
              <w:jc w:val="both"/>
              <w:rPr>
                <w:rFonts w:cs="Arial"/>
                <w:color w:val="FFFFFF" w:themeColor="background1"/>
                <w:sz w:val="22"/>
                <w:szCs w:val="22"/>
              </w:rPr>
            </w:pPr>
            <w:r>
              <w:rPr>
                <w:rFonts w:eastAsia="Arial" w:cs="Times New Roman"/>
                <w:color w:val="FFFFFF" w:themeColor="background1"/>
                <w:lang w:val="en-NZ"/>
              </w:rPr>
              <w:t xml:space="preserve">Term </w:t>
            </w:r>
          </w:p>
        </w:tc>
        <w:tc>
          <w:tcPr>
            <w:tcW w:w="6650" w:type="dxa"/>
            <w:shd w:val="clear" w:color="auto" w:fill="36424A"/>
            <w:vAlign w:val="center"/>
          </w:tcPr>
          <w:p w14:paraId="176C1233" w14:textId="77777777" w:rsidR="00A22DDA" w:rsidRPr="00443E01" w:rsidRDefault="00A22DDA" w:rsidP="00C30484">
            <w:pPr>
              <w:spacing w:before="120" w:after="120"/>
              <w:jc w:val="both"/>
              <w:rPr>
                <w:rFonts w:cs="Arial"/>
                <w:color w:val="FFFFFF" w:themeColor="background1"/>
                <w:sz w:val="22"/>
                <w:szCs w:val="22"/>
              </w:rPr>
            </w:pPr>
            <w:r>
              <w:rPr>
                <w:rFonts w:eastAsia="Arial" w:cs="Times New Roman"/>
                <w:color w:val="FFFFFF" w:themeColor="background1"/>
                <w:lang w:val="en-NZ"/>
              </w:rPr>
              <w:t xml:space="preserve">Definition </w:t>
            </w:r>
          </w:p>
        </w:tc>
      </w:tr>
      <w:tr w:rsidR="00A22DDA" w:rsidRPr="00442D9E" w14:paraId="00C6F27E" w14:textId="77777777" w:rsidTr="003B2996">
        <w:tc>
          <w:tcPr>
            <w:tcW w:w="2972" w:type="dxa"/>
          </w:tcPr>
          <w:p w14:paraId="11EA0EEF" w14:textId="303B7EE8"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Antimicrobial resistance</w:t>
            </w:r>
          </w:p>
        </w:tc>
        <w:tc>
          <w:tcPr>
            <w:tcW w:w="6650" w:type="dxa"/>
          </w:tcPr>
          <w:p w14:paraId="5B4BAA09" w14:textId="4CF0BF26"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Antimicrobial Resistance (AMR) occurs when bacteria, viruses, fungi</w:t>
            </w:r>
            <w:r w:rsidR="006E1D23">
              <w:rPr>
                <w:rFonts w:cs="Arial"/>
                <w:color w:val="000000" w:themeColor="text1"/>
                <w:sz w:val="22"/>
                <w:szCs w:val="22"/>
              </w:rPr>
              <w:t>,</w:t>
            </w:r>
            <w:r w:rsidRPr="00442D9E">
              <w:rPr>
                <w:rFonts w:cs="Arial"/>
                <w:color w:val="000000" w:themeColor="text1"/>
                <w:sz w:val="22"/>
                <w:szCs w:val="22"/>
              </w:rPr>
              <w:t xml:space="preserve"> and parasites change over time and no longer respond to medicines making infections harder to treat and increasing the risk of disease spread, severe illness and death.</w:t>
            </w:r>
            <w:r w:rsidR="008B43F1">
              <w:rPr>
                <w:rFonts w:ascii="ZWAdobeF" w:hAnsi="ZWAdobeF" w:cs="ZWAdobeF"/>
                <w:sz w:val="2"/>
                <w:szCs w:val="2"/>
              </w:rPr>
              <w:t>2F</w:t>
            </w:r>
            <w:r w:rsidRPr="00442D9E">
              <w:rPr>
                <w:rStyle w:val="EndnoteReference"/>
                <w:rFonts w:cs="Arial"/>
                <w:color w:val="000000" w:themeColor="text1"/>
                <w:sz w:val="22"/>
                <w:szCs w:val="22"/>
              </w:rPr>
              <w:endnoteReference w:id="2"/>
            </w:r>
          </w:p>
        </w:tc>
      </w:tr>
      <w:tr w:rsidR="00A22DDA" w:rsidRPr="00442D9E" w14:paraId="3A9DE8BA" w14:textId="77777777" w:rsidTr="003B2996">
        <w:tc>
          <w:tcPr>
            <w:tcW w:w="2972" w:type="dxa"/>
          </w:tcPr>
          <w:p w14:paraId="6B51695E" w14:textId="75805D00"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Antimicrobial stewardship</w:t>
            </w:r>
          </w:p>
        </w:tc>
        <w:tc>
          <w:tcPr>
            <w:tcW w:w="6650" w:type="dxa"/>
          </w:tcPr>
          <w:p w14:paraId="2D4431B0"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Antimicrobial stewardship (AMS) is the careful and responsible management of medications used to treat or prevent infections.</w:t>
            </w:r>
          </w:p>
          <w:p w14:paraId="2C32F997" w14:textId="4AE20473"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It involves activities that promote and support best practice antimicrobial prescribing and use.</w:t>
            </w:r>
            <w:r w:rsidR="008B43F1">
              <w:rPr>
                <w:rFonts w:ascii="ZWAdobeF" w:hAnsi="ZWAdobeF" w:cs="ZWAdobeF"/>
                <w:sz w:val="2"/>
                <w:szCs w:val="2"/>
              </w:rPr>
              <w:t>3F</w:t>
            </w:r>
            <w:r w:rsidRPr="00442D9E">
              <w:rPr>
                <w:rStyle w:val="EndnoteReference"/>
                <w:rFonts w:cs="Arial"/>
                <w:color w:val="000000" w:themeColor="text1"/>
                <w:sz w:val="22"/>
                <w:szCs w:val="22"/>
              </w:rPr>
              <w:endnoteReference w:id="3"/>
            </w:r>
          </w:p>
        </w:tc>
      </w:tr>
      <w:tr w:rsidR="127394B7" w14:paraId="7C1831FB" w14:textId="77777777" w:rsidTr="127394B7">
        <w:trPr>
          <w:trHeight w:val="300"/>
        </w:trPr>
        <w:tc>
          <w:tcPr>
            <w:tcW w:w="2972" w:type="dxa"/>
          </w:tcPr>
          <w:p w14:paraId="5F9E98FD" w14:textId="66D51FAC" w:rsidR="4B25B67E" w:rsidRDefault="4B25B67E" w:rsidP="127394B7">
            <w:pPr>
              <w:rPr>
                <w:rFonts w:cs="Arial"/>
                <w:color w:val="000000" w:themeColor="text1"/>
                <w:sz w:val="22"/>
                <w:szCs w:val="22"/>
              </w:rPr>
            </w:pPr>
            <w:r w:rsidRPr="127394B7">
              <w:rPr>
                <w:rFonts w:cs="Arial"/>
                <w:color w:val="000000" w:themeColor="text1"/>
                <w:sz w:val="22"/>
                <w:szCs w:val="22"/>
              </w:rPr>
              <w:t>ASHM</w:t>
            </w:r>
          </w:p>
        </w:tc>
        <w:tc>
          <w:tcPr>
            <w:tcW w:w="6650" w:type="dxa"/>
          </w:tcPr>
          <w:p w14:paraId="20DB7BAA" w14:textId="6F04CB14" w:rsidR="4B25B67E" w:rsidRDefault="4B25B67E" w:rsidP="127394B7">
            <w:pPr>
              <w:rPr>
                <w:rFonts w:cs="Arial"/>
                <w:color w:val="000000" w:themeColor="text1"/>
                <w:sz w:val="22"/>
                <w:szCs w:val="22"/>
              </w:rPr>
            </w:pPr>
            <w:r w:rsidRPr="127394B7">
              <w:rPr>
                <w:rFonts w:cs="Arial"/>
                <w:color w:val="000000" w:themeColor="text1"/>
                <w:sz w:val="22"/>
                <w:szCs w:val="22"/>
              </w:rPr>
              <w:t>Australasian Society for HIV, Viral Hepatitis and Sexual Health Medicine</w:t>
            </w:r>
          </w:p>
        </w:tc>
      </w:tr>
      <w:tr w:rsidR="00A22DDA" w:rsidRPr="00442D9E" w14:paraId="1382D739" w14:textId="77777777" w:rsidTr="003B2996">
        <w:tc>
          <w:tcPr>
            <w:tcW w:w="2972" w:type="dxa"/>
            <w:vAlign w:val="center"/>
          </w:tcPr>
          <w:p w14:paraId="56F5FD5D" w14:textId="77777777" w:rsidR="00A22DDA" w:rsidRPr="00442D9E" w:rsidRDefault="00A22DDA" w:rsidP="003B2996">
            <w:pPr>
              <w:spacing w:before="120" w:after="120"/>
              <w:rPr>
                <w:rFonts w:cs="Arial"/>
                <w:color w:val="000000" w:themeColor="text1"/>
                <w:sz w:val="22"/>
                <w:szCs w:val="22"/>
              </w:rPr>
            </w:pPr>
            <w:r w:rsidRPr="00442D9E">
              <w:rPr>
                <w:rFonts w:cs="Arial"/>
                <w:sz w:val="22"/>
                <w:szCs w:val="22"/>
              </w:rPr>
              <w:t>BBV</w:t>
            </w:r>
          </w:p>
        </w:tc>
        <w:tc>
          <w:tcPr>
            <w:tcW w:w="6650" w:type="dxa"/>
            <w:vAlign w:val="center"/>
          </w:tcPr>
          <w:p w14:paraId="3605B1CD" w14:textId="7CAB7663" w:rsidR="00A22DDA" w:rsidRPr="00442D9E" w:rsidRDefault="00A22DDA" w:rsidP="003B2996">
            <w:pPr>
              <w:spacing w:before="120" w:after="120"/>
              <w:rPr>
                <w:rFonts w:cs="Arial"/>
                <w:color w:val="000000" w:themeColor="text1"/>
                <w:sz w:val="22"/>
                <w:szCs w:val="22"/>
              </w:rPr>
            </w:pPr>
            <w:r w:rsidRPr="00442D9E">
              <w:rPr>
                <w:rFonts w:cs="Arial"/>
                <w:sz w:val="22"/>
                <w:szCs w:val="22"/>
              </w:rPr>
              <w:t>Blood borne viruses</w:t>
            </w:r>
            <w:r>
              <w:rPr>
                <w:rFonts w:cs="Arial"/>
                <w:sz w:val="22"/>
                <w:szCs w:val="22"/>
              </w:rPr>
              <w:t>.</w:t>
            </w:r>
          </w:p>
        </w:tc>
      </w:tr>
      <w:tr w:rsidR="0049190D" w:rsidRPr="00442D9E" w14:paraId="19FCCF9C" w14:textId="77777777" w:rsidTr="003B2996">
        <w:tc>
          <w:tcPr>
            <w:tcW w:w="2972" w:type="dxa"/>
            <w:vAlign w:val="center"/>
          </w:tcPr>
          <w:p w14:paraId="5CEC6A1E" w14:textId="31C1A9EF" w:rsidR="0049190D" w:rsidRPr="00442D9E" w:rsidRDefault="0049190D" w:rsidP="003B2996">
            <w:pPr>
              <w:spacing w:before="120" w:after="120"/>
              <w:rPr>
                <w:rFonts w:cs="Arial"/>
                <w:sz w:val="22"/>
                <w:szCs w:val="22"/>
              </w:rPr>
            </w:pPr>
            <w:r>
              <w:rPr>
                <w:rFonts w:cs="Arial"/>
                <w:sz w:val="22"/>
                <w:szCs w:val="22"/>
              </w:rPr>
              <w:t xml:space="preserve">Brotherboys/Sistergirls </w:t>
            </w:r>
          </w:p>
        </w:tc>
        <w:tc>
          <w:tcPr>
            <w:tcW w:w="6650" w:type="dxa"/>
            <w:vAlign w:val="center"/>
          </w:tcPr>
          <w:p w14:paraId="74AFDEA1" w14:textId="5BD17BFA" w:rsidR="0049190D" w:rsidRPr="00442D9E" w:rsidRDefault="0049190D" w:rsidP="003B2996">
            <w:pPr>
              <w:spacing w:before="120" w:after="120"/>
              <w:rPr>
                <w:rFonts w:cs="Arial"/>
                <w:sz w:val="22"/>
                <w:szCs w:val="22"/>
              </w:rPr>
            </w:pPr>
            <w:r w:rsidRPr="0049190D">
              <w:rPr>
                <w:rFonts w:cs="Arial"/>
                <w:sz w:val="22"/>
                <w:szCs w:val="22"/>
              </w:rPr>
              <w:t>Aboriginal communities use these terms to describe transgender people and their relationships as a way of validating and strengthening their gender identities and relationships. Non-trans but non-conforming Aboriginal people may also use these terms</w:t>
            </w:r>
            <w:r>
              <w:rPr>
                <w:rFonts w:cs="Arial"/>
                <w:sz w:val="22"/>
                <w:szCs w:val="22"/>
              </w:rPr>
              <w:t>.</w:t>
            </w:r>
            <w:r w:rsidR="008B43F1">
              <w:rPr>
                <w:rFonts w:ascii="ZWAdobeF" w:hAnsi="ZWAdobeF" w:cs="ZWAdobeF"/>
                <w:sz w:val="2"/>
                <w:szCs w:val="2"/>
              </w:rPr>
              <w:t>4F</w:t>
            </w:r>
            <w:r w:rsidR="004A29A8">
              <w:rPr>
                <w:rStyle w:val="EndnoteReference"/>
                <w:rFonts w:cs="Arial"/>
                <w:sz w:val="22"/>
                <w:szCs w:val="22"/>
              </w:rPr>
              <w:endnoteReference w:id="4"/>
            </w:r>
            <w:r w:rsidRPr="0049190D">
              <w:rPr>
                <w:rFonts w:cs="Arial"/>
                <w:sz w:val="22"/>
                <w:szCs w:val="22"/>
              </w:rPr>
              <w:t xml:space="preserve"> </w:t>
            </w:r>
          </w:p>
        </w:tc>
      </w:tr>
      <w:tr w:rsidR="00A22DDA" w:rsidRPr="00442D9E" w14:paraId="60F04243" w14:textId="77777777" w:rsidTr="003B2996">
        <w:tc>
          <w:tcPr>
            <w:tcW w:w="2972" w:type="dxa"/>
            <w:vAlign w:val="center"/>
          </w:tcPr>
          <w:p w14:paraId="1D875FB4" w14:textId="77777777" w:rsidR="00A22DDA" w:rsidRPr="00442D9E" w:rsidRDefault="00A22DDA" w:rsidP="003B2996">
            <w:pPr>
              <w:spacing w:before="120" w:after="120"/>
              <w:rPr>
                <w:rFonts w:cs="Arial"/>
                <w:sz w:val="22"/>
                <w:szCs w:val="22"/>
              </w:rPr>
            </w:pPr>
            <w:r>
              <w:rPr>
                <w:rFonts w:cs="Arial"/>
                <w:sz w:val="22"/>
                <w:szCs w:val="22"/>
              </w:rPr>
              <w:t>Cisgender</w:t>
            </w:r>
          </w:p>
        </w:tc>
        <w:tc>
          <w:tcPr>
            <w:tcW w:w="6650" w:type="dxa"/>
            <w:vAlign w:val="center"/>
          </w:tcPr>
          <w:p w14:paraId="6D6F467E" w14:textId="0E8E1B9C" w:rsidR="00A22DDA" w:rsidRPr="003F5976" w:rsidRDefault="00A22DDA" w:rsidP="003B2996">
            <w:pPr>
              <w:spacing w:before="120" w:after="120"/>
              <w:rPr>
                <w:rFonts w:cs="Arial"/>
                <w:sz w:val="22"/>
                <w:szCs w:val="22"/>
                <w:lang w:val="en-NZ"/>
              </w:rPr>
            </w:pPr>
            <w:r w:rsidRPr="006E2E10">
              <w:rPr>
                <w:rFonts w:cs="Arial"/>
                <w:sz w:val="22"/>
                <w:szCs w:val="22"/>
                <w:lang w:val="en-NZ"/>
              </w:rPr>
              <w:t>Refers to people who identify their gender in the same way as was legally assigned to them at birth.</w:t>
            </w:r>
            <w:r w:rsidR="008B43F1">
              <w:rPr>
                <w:rFonts w:ascii="ZWAdobeF" w:hAnsi="ZWAdobeF" w:cs="ZWAdobeF"/>
                <w:sz w:val="2"/>
                <w:szCs w:val="2"/>
                <w:lang w:val="en-NZ"/>
              </w:rPr>
              <w:t>5F</w:t>
            </w:r>
            <w:r>
              <w:rPr>
                <w:rStyle w:val="EndnoteReference"/>
                <w:rFonts w:cs="Arial"/>
                <w:sz w:val="22"/>
                <w:szCs w:val="22"/>
                <w:lang w:val="en-NZ"/>
              </w:rPr>
              <w:endnoteReference w:id="5"/>
            </w:r>
          </w:p>
        </w:tc>
      </w:tr>
      <w:tr w:rsidR="00A22DDA" w:rsidRPr="00442D9E" w14:paraId="40DAC687" w14:textId="77777777" w:rsidTr="003B2996">
        <w:tc>
          <w:tcPr>
            <w:tcW w:w="2972" w:type="dxa"/>
          </w:tcPr>
          <w:p w14:paraId="7C2AF328"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Co-design</w:t>
            </w:r>
          </w:p>
        </w:tc>
        <w:tc>
          <w:tcPr>
            <w:tcW w:w="6650" w:type="dxa"/>
          </w:tcPr>
          <w:p w14:paraId="16BF382D" w14:textId="7CC5F7D3" w:rsidR="00A22DDA" w:rsidRPr="00442D9E" w:rsidRDefault="00A22DDA" w:rsidP="003B2996">
            <w:pPr>
              <w:spacing w:before="120" w:after="120"/>
              <w:rPr>
                <w:rFonts w:cs="Arial"/>
                <w:color w:val="000000" w:themeColor="text1"/>
                <w:sz w:val="22"/>
                <w:szCs w:val="22"/>
              </w:rPr>
            </w:pPr>
            <w:r w:rsidRPr="004641B0">
              <w:rPr>
                <w:rFonts w:cs="Arial"/>
                <w:color w:val="000000" w:themeColor="text1"/>
                <w:sz w:val="22"/>
                <w:szCs w:val="22"/>
              </w:rPr>
              <w:t>Co-design is a way of bringing consumers, carers, families</w:t>
            </w:r>
            <w:r w:rsidR="006E1D23">
              <w:rPr>
                <w:rFonts w:cs="Arial"/>
                <w:color w:val="000000" w:themeColor="text1"/>
                <w:sz w:val="22"/>
                <w:szCs w:val="22"/>
              </w:rPr>
              <w:t>,</w:t>
            </w:r>
            <w:r w:rsidRPr="004641B0">
              <w:rPr>
                <w:rFonts w:cs="Arial"/>
                <w:color w:val="000000" w:themeColor="text1"/>
                <w:sz w:val="22"/>
                <w:szCs w:val="22"/>
              </w:rPr>
              <w:t xml:space="preserve"> and health workers together to improve services. It creates an equal and reciprocal relationship between all stakeholders, enabling them to design and deliver services in partnership with each other. Planning, designing</w:t>
            </w:r>
            <w:r w:rsidR="006E1D23">
              <w:rPr>
                <w:rFonts w:cs="Arial"/>
                <w:color w:val="000000" w:themeColor="text1"/>
                <w:sz w:val="22"/>
                <w:szCs w:val="22"/>
              </w:rPr>
              <w:t>,</w:t>
            </w:r>
            <w:r w:rsidRPr="004641B0">
              <w:rPr>
                <w:rFonts w:cs="Arial"/>
                <w:color w:val="000000" w:themeColor="text1"/>
                <w:sz w:val="22"/>
                <w:szCs w:val="22"/>
              </w:rPr>
              <w:t xml:space="preserve"> and producing services with people that have experience of the problem or service means the final solution is more likely to meet their needs</w:t>
            </w:r>
            <w:r>
              <w:rPr>
                <w:rFonts w:cs="Arial"/>
                <w:color w:val="000000" w:themeColor="text1"/>
                <w:sz w:val="22"/>
                <w:szCs w:val="22"/>
              </w:rPr>
              <w:t>.</w:t>
            </w:r>
            <w:r w:rsidR="008B43F1">
              <w:rPr>
                <w:rFonts w:ascii="ZWAdobeF" w:hAnsi="ZWAdobeF" w:cs="ZWAdobeF"/>
                <w:sz w:val="2"/>
                <w:szCs w:val="2"/>
              </w:rPr>
              <w:t>6F</w:t>
            </w:r>
            <w:r>
              <w:rPr>
                <w:rStyle w:val="EndnoteReference"/>
                <w:rFonts w:cs="Arial"/>
                <w:color w:val="000000" w:themeColor="text1"/>
                <w:sz w:val="22"/>
                <w:szCs w:val="22"/>
              </w:rPr>
              <w:endnoteReference w:id="6"/>
            </w:r>
          </w:p>
        </w:tc>
      </w:tr>
      <w:tr w:rsidR="00A22DDA" w:rsidRPr="00442D9E" w14:paraId="33EB3BCD" w14:textId="77777777" w:rsidTr="003B2996">
        <w:tc>
          <w:tcPr>
            <w:tcW w:w="2972" w:type="dxa"/>
          </w:tcPr>
          <w:p w14:paraId="23FEFB04"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 xml:space="preserve">Community leadership </w:t>
            </w:r>
          </w:p>
        </w:tc>
        <w:tc>
          <w:tcPr>
            <w:tcW w:w="6650" w:type="dxa"/>
          </w:tcPr>
          <w:p w14:paraId="07F0975B" w14:textId="51C156C8"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Community leadership is leadership in, for and by the community. It is often based in place and is therefore local. It can also represent a community of common interest, purpose</w:t>
            </w:r>
            <w:r w:rsidR="006E1D23">
              <w:rPr>
                <w:rFonts w:cs="Arial"/>
                <w:color w:val="000000" w:themeColor="text1"/>
                <w:sz w:val="22"/>
                <w:szCs w:val="22"/>
              </w:rPr>
              <w:t>,</w:t>
            </w:r>
            <w:r w:rsidRPr="00442D9E">
              <w:rPr>
                <w:rFonts w:cs="Arial"/>
                <w:color w:val="000000" w:themeColor="text1"/>
                <w:sz w:val="22"/>
                <w:szCs w:val="22"/>
              </w:rPr>
              <w:t xml:space="preserve"> or practice.</w:t>
            </w:r>
            <w:r w:rsidR="008B43F1">
              <w:rPr>
                <w:rFonts w:ascii="ZWAdobeF" w:hAnsi="ZWAdobeF" w:cs="ZWAdobeF"/>
                <w:sz w:val="2"/>
                <w:szCs w:val="2"/>
              </w:rPr>
              <w:t>7F</w:t>
            </w:r>
            <w:r w:rsidRPr="00442D9E">
              <w:rPr>
                <w:rStyle w:val="EndnoteReference"/>
                <w:rFonts w:cs="Arial"/>
                <w:color w:val="000000" w:themeColor="text1"/>
                <w:sz w:val="22"/>
                <w:szCs w:val="22"/>
              </w:rPr>
              <w:endnoteReference w:id="7"/>
            </w:r>
          </w:p>
        </w:tc>
      </w:tr>
      <w:tr w:rsidR="00A22DDA" w:rsidRPr="00442D9E" w14:paraId="1C3A270F" w14:textId="77777777" w:rsidTr="003B2996">
        <w:tc>
          <w:tcPr>
            <w:tcW w:w="2972" w:type="dxa"/>
            <w:vAlign w:val="center"/>
          </w:tcPr>
          <w:p w14:paraId="6261F4B9" w14:textId="77777777" w:rsidR="00A22DDA" w:rsidRPr="00442D9E" w:rsidRDefault="00A22DDA" w:rsidP="003B2996">
            <w:pPr>
              <w:spacing w:before="120" w:after="120"/>
              <w:rPr>
                <w:rFonts w:cs="Arial"/>
                <w:color w:val="000000" w:themeColor="text1"/>
                <w:sz w:val="22"/>
                <w:szCs w:val="22"/>
              </w:rPr>
            </w:pPr>
            <w:r w:rsidRPr="00442D9E">
              <w:rPr>
                <w:rFonts w:cs="Arial"/>
                <w:sz w:val="22"/>
                <w:szCs w:val="22"/>
              </w:rPr>
              <w:t>COVID-19</w:t>
            </w:r>
          </w:p>
        </w:tc>
        <w:tc>
          <w:tcPr>
            <w:tcW w:w="6650" w:type="dxa"/>
            <w:vAlign w:val="center"/>
          </w:tcPr>
          <w:p w14:paraId="62F64176" w14:textId="012B1DB0" w:rsidR="00A22DDA" w:rsidRPr="00442D9E" w:rsidRDefault="00A22DDA" w:rsidP="003B2996">
            <w:pPr>
              <w:spacing w:before="120" w:after="120"/>
              <w:rPr>
                <w:rFonts w:cs="Arial"/>
                <w:color w:val="000000" w:themeColor="text1"/>
                <w:sz w:val="22"/>
                <w:szCs w:val="22"/>
              </w:rPr>
            </w:pPr>
            <w:r>
              <w:rPr>
                <w:rFonts w:cs="Arial"/>
                <w:sz w:val="22"/>
                <w:szCs w:val="22"/>
              </w:rPr>
              <w:t>Severe Acute Respiratory Syndrome Coronavirus 2 (SARS-CoV-2).</w:t>
            </w:r>
            <w:r w:rsidR="008B43F1">
              <w:rPr>
                <w:rFonts w:ascii="ZWAdobeF" w:hAnsi="ZWAdobeF" w:cs="ZWAdobeF"/>
                <w:sz w:val="2"/>
                <w:szCs w:val="2"/>
              </w:rPr>
              <w:t>8F</w:t>
            </w:r>
            <w:r>
              <w:rPr>
                <w:rStyle w:val="EndnoteReference"/>
                <w:rFonts w:cs="Arial"/>
                <w:sz w:val="22"/>
                <w:szCs w:val="22"/>
              </w:rPr>
              <w:endnoteReference w:id="8"/>
            </w:r>
          </w:p>
        </w:tc>
      </w:tr>
      <w:tr w:rsidR="00A22DDA" w:rsidRPr="00442D9E" w14:paraId="1C5203DD" w14:textId="77777777" w:rsidTr="003B2996">
        <w:tc>
          <w:tcPr>
            <w:tcW w:w="2972" w:type="dxa"/>
          </w:tcPr>
          <w:p w14:paraId="7DF92018"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 xml:space="preserve">Discrimination </w:t>
            </w:r>
          </w:p>
        </w:tc>
        <w:tc>
          <w:tcPr>
            <w:tcW w:w="6650" w:type="dxa"/>
          </w:tcPr>
          <w:p w14:paraId="59513B05" w14:textId="6E1E930B"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Discrimination happens when a person, or a group of people, are treated less favourably than another person or group because of their background or certain personal characteristics.</w:t>
            </w:r>
            <w:r w:rsidR="008B43F1">
              <w:rPr>
                <w:rFonts w:ascii="ZWAdobeF" w:hAnsi="ZWAdobeF" w:cs="ZWAdobeF"/>
                <w:sz w:val="2"/>
                <w:szCs w:val="2"/>
              </w:rPr>
              <w:t>9F</w:t>
            </w:r>
            <w:r w:rsidRPr="00442D9E">
              <w:rPr>
                <w:rStyle w:val="EndnoteReference"/>
                <w:rFonts w:cs="Arial"/>
                <w:color w:val="000000" w:themeColor="text1"/>
                <w:sz w:val="22"/>
                <w:szCs w:val="22"/>
              </w:rPr>
              <w:endnoteReference w:id="9"/>
            </w:r>
          </w:p>
        </w:tc>
      </w:tr>
      <w:tr w:rsidR="00A22DDA" w:rsidRPr="00442D9E" w14:paraId="29EE99E8" w14:textId="77777777" w:rsidTr="003B2996">
        <w:tc>
          <w:tcPr>
            <w:tcW w:w="2972" w:type="dxa"/>
          </w:tcPr>
          <w:p w14:paraId="116AEEFC"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Diversity</w:t>
            </w:r>
          </w:p>
        </w:tc>
        <w:tc>
          <w:tcPr>
            <w:tcW w:w="6650" w:type="dxa"/>
          </w:tcPr>
          <w:p w14:paraId="4E5EE7C7" w14:textId="25FC1059"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 xml:space="preserve">Diversity is the range of human differences, including but not limited to race, ethnicity, gender, gender identity, sexual orientation, age, social class, physical </w:t>
            </w:r>
            <w:r w:rsidR="3F193845" w:rsidRPr="00442D9E">
              <w:rPr>
                <w:rFonts w:cs="Arial"/>
                <w:color w:val="000000" w:themeColor="text1"/>
                <w:sz w:val="22"/>
                <w:szCs w:val="22"/>
              </w:rPr>
              <w:t>or mental</w:t>
            </w:r>
            <w:r w:rsidRPr="00442D9E">
              <w:rPr>
                <w:rFonts w:cs="Arial"/>
                <w:color w:val="000000" w:themeColor="text1"/>
                <w:sz w:val="22"/>
                <w:szCs w:val="22"/>
              </w:rPr>
              <w:t xml:space="preserve"> ability or attributes, religious or ethical values system, national origin, and political beliefs.</w:t>
            </w:r>
            <w:r w:rsidR="008B43F1">
              <w:rPr>
                <w:rFonts w:ascii="ZWAdobeF" w:hAnsi="ZWAdobeF" w:cs="ZWAdobeF"/>
                <w:sz w:val="2"/>
                <w:szCs w:val="2"/>
              </w:rPr>
              <w:t>10F</w:t>
            </w:r>
            <w:r w:rsidRPr="00442D9E">
              <w:rPr>
                <w:rStyle w:val="EndnoteReference"/>
                <w:rFonts w:cs="Arial"/>
                <w:color w:val="000000" w:themeColor="text1"/>
                <w:sz w:val="22"/>
                <w:szCs w:val="22"/>
              </w:rPr>
              <w:endnoteReference w:id="10"/>
            </w:r>
          </w:p>
        </w:tc>
      </w:tr>
      <w:tr w:rsidR="00A22DDA" w:rsidRPr="00442D9E" w14:paraId="30F656C5" w14:textId="77777777" w:rsidTr="003B2996">
        <w:tc>
          <w:tcPr>
            <w:tcW w:w="2972" w:type="dxa"/>
          </w:tcPr>
          <w:p w14:paraId="4193203D"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 xml:space="preserve">Education </w:t>
            </w:r>
          </w:p>
        </w:tc>
        <w:tc>
          <w:tcPr>
            <w:tcW w:w="6650" w:type="dxa"/>
          </w:tcPr>
          <w:p w14:paraId="44489E86"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Education is the transmission of knowledge, skills, and character traits.</w:t>
            </w:r>
          </w:p>
        </w:tc>
      </w:tr>
      <w:tr w:rsidR="00A22DDA" w:rsidRPr="00442D9E" w14:paraId="0595305C" w14:textId="77777777" w:rsidTr="003B2996">
        <w:tc>
          <w:tcPr>
            <w:tcW w:w="2972" w:type="dxa"/>
          </w:tcPr>
          <w:p w14:paraId="756B801B"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lastRenderedPageBreak/>
              <w:t>Equity</w:t>
            </w:r>
          </w:p>
        </w:tc>
        <w:tc>
          <w:tcPr>
            <w:tcW w:w="6650" w:type="dxa"/>
          </w:tcPr>
          <w:p w14:paraId="381E8305" w14:textId="520BF561"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Equity is the absence of unfair, avoidable</w:t>
            </w:r>
            <w:r w:rsidR="006E1D23">
              <w:rPr>
                <w:rFonts w:cs="Arial"/>
                <w:color w:val="000000" w:themeColor="text1"/>
                <w:sz w:val="22"/>
                <w:szCs w:val="22"/>
              </w:rPr>
              <w:t>,</w:t>
            </w:r>
            <w:r w:rsidRPr="00442D9E">
              <w:rPr>
                <w:rFonts w:cs="Arial"/>
                <w:color w:val="000000" w:themeColor="text1"/>
                <w:sz w:val="22"/>
                <w:szCs w:val="22"/>
              </w:rPr>
              <w:t xml:space="preserve"> or remediable differences among groups of people, whether those groups are defined socially, economically, demographically, geographically</w:t>
            </w:r>
            <w:r w:rsidR="006E1D23">
              <w:rPr>
                <w:rFonts w:cs="Arial"/>
                <w:color w:val="000000" w:themeColor="text1"/>
                <w:sz w:val="22"/>
                <w:szCs w:val="22"/>
              </w:rPr>
              <w:t>,</w:t>
            </w:r>
            <w:r w:rsidRPr="00442D9E">
              <w:rPr>
                <w:rFonts w:cs="Arial"/>
                <w:color w:val="000000" w:themeColor="text1"/>
                <w:sz w:val="22"/>
                <w:szCs w:val="22"/>
              </w:rPr>
              <w:t xml:space="preserve"> or by other dimensions of inequality (</w:t>
            </w:r>
            <w:r w:rsidR="004E7A51" w:rsidRPr="00442D9E">
              <w:rPr>
                <w:rFonts w:cs="Arial"/>
                <w:color w:val="000000" w:themeColor="text1"/>
                <w:sz w:val="22"/>
                <w:szCs w:val="22"/>
              </w:rPr>
              <w:t>e.g.,</w:t>
            </w:r>
            <w:r w:rsidRPr="00442D9E">
              <w:rPr>
                <w:rFonts w:cs="Arial"/>
                <w:color w:val="000000" w:themeColor="text1"/>
                <w:sz w:val="22"/>
                <w:szCs w:val="22"/>
              </w:rPr>
              <w:t xml:space="preserve"> sex, gender, ethnicity, disability, sexual orientation</w:t>
            </w:r>
            <w:r w:rsidR="401C4F68" w:rsidRPr="00442D9E">
              <w:rPr>
                <w:rFonts w:cs="Arial"/>
                <w:color w:val="000000" w:themeColor="text1"/>
                <w:sz w:val="22"/>
                <w:szCs w:val="22"/>
              </w:rPr>
              <w:t xml:space="preserve"> and more</w:t>
            </w:r>
            <w:r w:rsidRPr="00442D9E">
              <w:rPr>
                <w:rFonts w:cs="Arial"/>
                <w:color w:val="000000" w:themeColor="text1"/>
                <w:sz w:val="22"/>
                <w:szCs w:val="22"/>
              </w:rPr>
              <w:t>).</w:t>
            </w:r>
            <w:r w:rsidR="008B43F1">
              <w:rPr>
                <w:rFonts w:ascii="ZWAdobeF" w:hAnsi="ZWAdobeF" w:cs="ZWAdobeF"/>
                <w:sz w:val="2"/>
                <w:szCs w:val="2"/>
              </w:rPr>
              <w:t>11F</w:t>
            </w:r>
            <w:r w:rsidRPr="00442D9E">
              <w:rPr>
                <w:rStyle w:val="EndnoteReference"/>
                <w:rFonts w:cs="Arial"/>
                <w:color w:val="000000" w:themeColor="text1"/>
                <w:sz w:val="22"/>
                <w:szCs w:val="22"/>
              </w:rPr>
              <w:endnoteReference w:id="11"/>
            </w:r>
          </w:p>
        </w:tc>
      </w:tr>
      <w:tr w:rsidR="00A22DDA" w:rsidRPr="00442D9E" w14:paraId="6D612E11" w14:textId="77777777" w:rsidTr="003B2996">
        <w:tc>
          <w:tcPr>
            <w:tcW w:w="2972" w:type="dxa"/>
            <w:vAlign w:val="center"/>
          </w:tcPr>
          <w:p w14:paraId="476CEF38" w14:textId="77777777" w:rsidR="00A22DDA" w:rsidRPr="00442D9E" w:rsidRDefault="00A22DDA" w:rsidP="003B2996">
            <w:pPr>
              <w:spacing w:before="120" w:after="120"/>
              <w:rPr>
                <w:rFonts w:cs="Arial"/>
                <w:color w:val="000000" w:themeColor="text1"/>
                <w:sz w:val="22"/>
                <w:szCs w:val="22"/>
              </w:rPr>
            </w:pPr>
            <w:r w:rsidRPr="00442D9E">
              <w:rPr>
                <w:rFonts w:cs="Arial"/>
                <w:sz w:val="22"/>
                <w:szCs w:val="22"/>
              </w:rPr>
              <w:t>GPs</w:t>
            </w:r>
          </w:p>
        </w:tc>
        <w:tc>
          <w:tcPr>
            <w:tcW w:w="6650" w:type="dxa"/>
            <w:vAlign w:val="center"/>
          </w:tcPr>
          <w:p w14:paraId="39222138" w14:textId="11F5E797" w:rsidR="00A22DDA" w:rsidRPr="00442D9E" w:rsidRDefault="00A22DDA" w:rsidP="003B2996">
            <w:pPr>
              <w:spacing w:before="120" w:after="120"/>
              <w:rPr>
                <w:rFonts w:cs="Arial"/>
                <w:color w:val="000000" w:themeColor="text1"/>
                <w:sz w:val="22"/>
                <w:szCs w:val="22"/>
              </w:rPr>
            </w:pPr>
            <w:r w:rsidRPr="00442D9E">
              <w:rPr>
                <w:rFonts w:cs="Arial"/>
                <w:sz w:val="22"/>
                <w:szCs w:val="22"/>
              </w:rPr>
              <w:t>General Practitioners</w:t>
            </w:r>
            <w:r>
              <w:rPr>
                <w:rFonts w:cs="Arial"/>
                <w:sz w:val="22"/>
                <w:szCs w:val="22"/>
              </w:rPr>
              <w:t>.</w:t>
            </w:r>
          </w:p>
        </w:tc>
      </w:tr>
      <w:tr w:rsidR="00A22DDA" w:rsidRPr="00442D9E" w14:paraId="29E527E8" w14:textId="77777777" w:rsidTr="003B2996">
        <w:tc>
          <w:tcPr>
            <w:tcW w:w="2972" w:type="dxa"/>
          </w:tcPr>
          <w:p w14:paraId="44314261"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 xml:space="preserve">Health workforce </w:t>
            </w:r>
          </w:p>
        </w:tc>
        <w:tc>
          <w:tcPr>
            <w:tcW w:w="6650" w:type="dxa"/>
          </w:tcPr>
          <w:p w14:paraId="30CC54FC" w14:textId="2FD17C48"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The health workforce in Australia is large and diverse, covering many occupations. These include health practitioners registered with the Australian Health Practitioner Regulation Agency as well as other health professionals and health support workers.</w:t>
            </w:r>
            <w:r w:rsidR="008B43F1">
              <w:rPr>
                <w:rFonts w:ascii="ZWAdobeF" w:hAnsi="ZWAdobeF" w:cs="ZWAdobeF"/>
                <w:sz w:val="2"/>
                <w:szCs w:val="2"/>
              </w:rPr>
              <w:t>12F</w:t>
            </w:r>
            <w:r w:rsidRPr="00442D9E">
              <w:rPr>
                <w:rStyle w:val="EndnoteReference"/>
                <w:rFonts w:cs="Arial"/>
                <w:color w:val="000000" w:themeColor="text1"/>
                <w:sz w:val="22"/>
                <w:szCs w:val="22"/>
              </w:rPr>
              <w:endnoteReference w:id="12"/>
            </w:r>
          </w:p>
        </w:tc>
      </w:tr>
      <w:tr w:rsidR="00A22DDA" w:rsidRPr="00442D9E" w14:paraId="71447C2C" w14:textId="77777777" w:rsidTr="003B2996">
        <w:tc>
          <w:tcPr>
            <w:tcW w:w="2972" w:type="dxa"/>
            <w:vAlign w:val="center"/>
          </w:tcPr>
          <w:p w14:paraId="5738B962" w14:textId="77777777" w:rsidR="00A22DDA" w:rsidRPr="00442D9E" w:rsidRDefault="00A22DDA" w:rsidP="003B2996">
            <w:pPr>
              <w:spacing w:before="120" w:after="120"/>
              <w:rPr>
                <w:rFonts w:cs="Arial"/>
                <w:color w:val="000000" w:themeColor="text1"/>
                <w:sz w:val="22"/>
                <w:szCs w:val="22"/>
              </w:rPr>
            </w:pPr>
            <w:r w:rsidRPr="00442D9E">
              <w:rPr>
                <w:rFonts w:cs="Arial"/>
                <w:sz w:val="22"/>
                <w:szCs w:val="22"/>
              </w:rPr>
              <w:t>HIV</w:t>
            </w:r>
          </w:p>
        </w:tc>
        <w:tc>
          <w:tcPr>
            <w:tcW w:w="6650" w:type="dxa"/>
            <w:vAlign w:val="center"/>
          </w:tcPr>
          <w:p w14:paraId="362CD718" w14:textId="12093D57" w:rsidR="00A22DDA" w:rsidRPr="00442D9E" w:rsidRDefault="00A22DDA" w:rsidP="003B2996">
            <w:pPr>
              <w:spacing w:before="120" w:after="120"/>
              <w:rPr>
                <w:rFonts w:cs="Arial"/>
                <w:color w:val="000000" w:themeColor="text1"/>
                <w:sz w:val="22"/>
                <w:szCs w:val="22"/>
              </w:rPr>
            </w:pPr>
            <w:r w:rsidRPr="00442D9E">
              <w:rPr>
                <w:rFonts w:cs="Arial"/>
                <w:sz w:val="22"/>
                <w:szCs w:val="22"/>
              </w:rPr>
              <w:t>Human immunodeficiency virus</w:t>
            </w:r>
            <w:r w:rsidR="008E5475">
              <w:rPr>
                <w:rFonts w:cs="Arial"/>
                <w:sz w:val="22"/>
                <w:szCs w:val="22"/>
              </w:rPr>
              <w:t>.</w:t>
            </w:r>
          </w:p>
        </w:tc>
      </w:tr>
      <w:tr w:rsidR="00A22DDA" w:rsidRPr="00442D9E" w14:paraId="7ED5C82A" w14:textId="77777777" w:rsidTr="003B2996">
        <w:tc>
          <w:tcPr>
            <w:tcW w:w="2972" w:type="dxa"/>
          </w:tcPr>
          <w:p w14:paraId="6B5C969F"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 xml:space="preserve">Human rights </w:t>
            </w:r>
          </w:p>
        </w:tc>
        <w:tc>
          <w:tcPr>
            <w:tcW w:w="6650" w:type="dxa"/>
          </w:tcPr>
          <w:p w14:paraId="5A0B4EAA" w14:textId="12999B2B"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lang w:val="en-NZ"/>
              </w:rPr>
              <w:t>Human rights are based on principles of dignity, equality</w:t>
            </w:r>
            <w:r w:rsidR="00D06E3E">
              <w:rPr>
                <w:rFonts w:cs="Arial"/>
                <w:color w:val="000000" w:themeColor="text1"/>
                <w:sz w:val="22"/>
                <w:szCs w:val="22"/>
                <w:lang w:val="en-NZ"/>
              </w:rPr>
              <w:t>,</w:t>
            </w:r>
            <w:r w:rsidRPr="00442D9E">
              <w:rPr>
                <w:rFonts w:cs="Arial"/>
                <w:color w:val="000000" w:themeColor="text1"/>
                <w:sz w:val="22"/>
                <w:szCs w:val="22"/>
                <w:lang w:val="en-NZ"/>
              </w:rPr>
              <w:t xml:space="preserve"> and mutual respect, which are shared across cultures, religions</w:t>
            </w:r>
            <w:r w:rsidR="00D06E3E">
              <w:rPr>
                <w:rFonts w:cs="Arial"/>
                <w:color w:val="000000" w:themeColor="text1"/>
                <w:sz w:val="22"/>
                <w:szCs w:val="22"/>
                <w:lang w:val="en-NZ"/>
              </w:rPr>
              <w:t>,</w:t>
            </w:r>
            <w:r w:rsidRPr="00442D9E">
              <w:rPr>
                <w:rFonts w:cs="Arial"/>
                <w:color w:val="000000" w:themeColor="text1"/>
                <w:sz w:val="22"/>
                <w:szCs w:val="22"/>
                <w:lang w:val="en-NZ"/>
              </w:rPr>
              <w:t xml:space="preserve"> and philosophies.</w:t>
            </w:r>
            <w:r w:rsidR="008B43F1">
              <w:rPr>
                <w:rFonts w:ascii="ZWAdobeF" w:hAnsi="ZWAdobeF" w:cs="ZWAdobeF"/>
                <w:sz w:val="2"/>
                <w:szCs w:val="2"/>
                <w:lang w:val="en-NZ"/>
              </w:rPr>
              <w:t>13F</w:t>
            </w:r>
            <w:r w:rsidRPr="00442D9E">
              <w:rPr>
                <w:rStyle w:val="EndnoteReference"/>
                <w:rFonts w:cs="Arial"/>
                <w:color w:val="000000" w:themeColor="text1"/>
                <w:sz w:val="22"/>
                <w:szCs w:val="22"/>
                <w:lang w:val="en-NZ"/>
              </w:rPr>
              <w:endnoteReference w:id="13"/>
            </w:r>
          </w:p>
        </w:tc>
      </w:tr>
      <w:tr w:rsidR="00A22DDA" w:rsidRPr="00442D9E" w14:paraId="7399A60E" w14:textId="77777777" w:rsidTr="003B2996">
        <w:tc>
          <w:tcPr>
            <w:tcW w:w="2972" w:type="dxa"/>
          </w:tcPr>
          <w:p w14:paraId="6A6CEF7D"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Inclusion</w:t>
            </w:r>
          </w:p>
        </w:tc>
        <w:tc>
          <w:tcPr>
            <w:tcW w:w="6650" w:type="dxa"/>
          </w:tcPr>
          <w:p w14:paraId="702C6E8A" w14:textId="29E27F43"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Inclusion is involvement and empowerment, where the inherent worth and dignity of all people are recognised.</w:t>
            </w:r>
            <w:r w:rsidR="008B43F1">
              <w:rPr>
                <w:rFonts w:ascii="ZWAdobeF" w:hAnsi="ZWAdobeF" w:cs="ZWAdobeF"/>
                <w:sz w:val="2"/>
                <w:szCs w:val="2"/>
              </w:rPr>
              <w:t>14F</w:t>
            </w:r>
            <w:r w:rsidRPr="00442D9E">
              <w:rPr>
                <w:rStyle w:val="EndnoteReference"/>
                <w:rFonts w:cs="Arial"/>
                <w:color w:val="000000" w:themeColor="text1"/>
                <w:sz w:val="22"/>
                <w:szCs w:val="22"/>
              </w:rPr>
              <w:endnoteReference w:id="14"/>
            </w:r>
          </w:p>
        </w:tc>
      </w:tr>
      <w:tr w:rsidR="00A22DDA" w:rsidRPr="00442D9E" w14:paraId="43DD8998" w14:textId="77777777" w:rsidTr="003B2996">
        <w:tc>
          <w:tcPr>
            <w:tcW w:w="2972" w:type="dxa"/>
          </w:tcPr>
          <w:p w14:paraId="68846616"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Intersectionality</w:t>
            </w:r>
          </w:p>
        </w:tc>
        <w:tc>
          <w:tcPr>
            <w:tcW w:w="6650" w:type="dxa"/>
          </w:tcPr>
          <w:p w14:paraId="3A4D55B3" w14:textId="7139017B"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Intersectionality refers to the ways in which different aspects of a person’s identity can expose them to overlapping forms of discrimination and marginalisation.</w:t>
            </w:r>
            <w:r w:rsidR="008B43F1">
              <w:rPr>
                <w:rFonts w:ascii="ZWAdobeF" w:hAnsi="ZWAdobeF" w:cs="ZWAdobeF"/>
                <w:sz w:val="2"/>
                <w:szCs w:val="2"/>
              </w:rPr>
              <w:t>15F</w:t>
            </w:r>
            <w:r w:rsidRPr="00442D9E">
              <w:rPr>
                <w:rStyle w:val="EndnoteReference"/>
                <w:rFonts w:cs="Arial"/>
                <w:color w:val="000000" w:themeColor="text1"/>
                <w:sz w:val="22"/>
                <w:szCs w:val="22"/>
              </w:rPr>
              <w:endnoteReference w:id="15"/>
            </w:r>
          </w:p>
        </w:tc>
      </w:tr>
      <w:tr w:rsidR="00A22DDA" w:rsidRPr="00442D9E" w14:paraId="5A529561" w14:textId="77777777" w:rsidTr="003B2996">
        <w:tc>
          <w:tcPr>
            <w:tcW w:w="2972" w:type="dxa"/>
          </w:tcPr>
          <w:p w14:paraId="24F476B2"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Person-centred</w:t>
            </w:r>
          </w:p>
        </w:tc>
        <w:tc>
          <w:tcPr>
            <w:tcW w:w="6650" w:type="dxa"/>
          </w:tcPr>
          <w:p w14:paraId="517A4269" w14:textId="32FACB36"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Being person-centred is about focusing care on the needs of the individual. Ensuring that people's preferences, needs</w:t>
            </w:r>
            <w:r w:rsidR="00D06E3E">
              <w:rPr>
                <w:rFonts w:cs="Arial"/>
                <w:color w:val="000000" w:themeColor="text1"/>
                <w:sz w:val="22"/>
                <w:szCs w:val="22"/>
              </w:rPr>
              <w:t>,</w:t>
            </w:r>
            <w:r w:rsidRPr="00442D9E">
              <w:rPr>
                <w:rFonts w:cs="Arial"/>
                <w:color w:val="000000" w:themeColor="text1"/>
                <w:sz w:val="22"/>
                <w:szCs w:val="22"/>
              </w:rPr>
              <w:t xml:space="preserve"> and values guide clinical decisions, and providing care that is respectful of and responsive to them.</w:t>
            </w:r>
            <w:r w:rsidR="008B43F1">
              <w:rPr>
                <w:rFonts w:ascii="ZWAdobeF" w:hAnsi="ZWAdobeF" w:cs="ZWAdobeF"/>
                <w:sz w:val="2"/>
                <w:szCs w:val="2"/>
              </w:rPr>
              <w:t>16F</w:t>
            </w:r>
            <w:r w:rsidRPr="00442D9E">
              <w:rPr>
                <w:rStyle w:val="EndnoteReference"/>
                <w:rFonts w:cs="Arial"/>
                <w:color w:val="000000" w:themeColor="text1"/>
                <w:sz w:val="22"/>
                <w:szCs w:val="22"/>
              </w:rPr>
              <w:endnoteReference w:id="16"/>
            </w:r>
          </w:p>
        </w:tc>
      </w:tr>
      <w:tr w:rsidR="00A22DDA" w:rsidRPr="00442D9E" w14:paraId="04717A20" w14:textId="77777777" w:rsidTr="003B2996">
        <w:tc>
          <w:tcPr>
            <w:tcW w:w="2972" w:type="dxa"/>
          </w:tcPr>
          <w:p w14:paraId="2D397EE9"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Prevention</w:t>
            </w:r>
          </w:p>
        </w:tc>
        <w:tc>
          <w:tcPr>
            <w:tcW w:w="6650" w:type="dxa"/>
          </w:tcPr>
          <w:p w14:paraId="11C66DDD" w14:textId="5A52B673"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Disease prevention, understood as specific population-based and individual-based interventions for primary and secondary (early detection) prevention, aiming to minimi</w:t>
            </w:r>
            <w:r w:rsidR="001003BD">
              <w:rPr>
                <w:rFonts w:cs="Arial"/>
                <w:color w:val="000000" w:themeColor="text1"/>
                <w:sz w:val="22"/>
                <w:szCs w:val="22"/>
              </w:rPr>
              <w:t>s</w:t>
            </w:r>
            <w:r w:rsidRPr="00442D9E">
              <w:rPr>
                <w:rFonts w:cs="Arial"/>
                <w:color w:val="000000" w:themeColor="text1"/>
                <w:sz w:val="22"/>
                <w:szCs w:val="22"/>
              </w:rPr>
              <w:t>e the burden of diseases and associated risk factors.</w:t>
            </w:r>
            <w:r w:rsidR="008B43F1">
              <w:rPr>
                <w:rFonts w:ascii="ZWAdobeF" w:hAnsi="ZWAdobeF" w:cs="ZWAdobeF"/>
                <w:sz w:val="2"/>
                <w:szCs w:val="2"/>
              </w:rPr>
              <w:t>17F</w:t>
            </w:r>
            <w:r w:rsidRPr="00442D9E">
              <w:rPr>
                <w:rStyle w:val="EndnoteReference"/>
                <w:rFonts w:cs="Arial"/>
                <w:color w:val="000000" w:themeColor="text1"/>
                <w:sz w:val="22"/>
                <w:szCs w:val="22"/>
              </w:rPr>
              <w:endnoteReference w:id="17"/>
            </w:r>
          </w:p>
        </w:tc>
      </w:tr>
      <w:tr w:rsidR="00A22DDA" w:rsidRPr="00442D9E" w14:paraId="4EA1E2FA" w14:textId="77777777" w:rsidTr="003B2996">
        <w:tc>
          <w:tcPr>
            <w:tcW w:w="2972" w:type="dxa"/>
          </w:tcPr>
          <w:p w14:paraId="1066D201" w14:textId="77777777" w:rsidR="00A22DDA" w:rsidRPr="00442D9E" w:rsidRDefault="00A22DDA" w:rsidP="00C30484">
            <w:pPr>
              <w:spacing w:before="120" w:after="120"/>
              <w:rPr>
                <w:rFonts w:cs="Arial"/>
                <w:color w:val="000000" w:themeColor="text1"/>
                <w:sz w:val="22"/>
                <w:szCs w:val="22"/>
              </w:rPr>
            </w:pPr>
            <w:r w:rsidRPr="00442D9E">
              <w:rPr>
                <w:rFonts w:cs="Arial"/>
                <w:color w:val="000000" w:themeColor="text1"/>
                <w:sz w:val="22"/>
                <w:szCs w:val="22"/>
              </w:rPr>
              <w:t>Primary Health Networks (PHNs)</w:t>
            </w:r>
          </w:p>
        </w:tc>
        <w:tc>
          <w:tcPr>
            <w:tcW w:w="6650" w:type="dxa"/>
          </w:tcPr>
          <w:p w14:paraId="53932290" w14:textId="322E3FD5"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Primary Health Networks (PHNs) are independent organisations that the Australian Department of Health and Aged Care fund to coordinate primary health care in their region. PHNs assess the needs of their community and commission health services so that people in their region can get coordinated health care where and when they need it.</w:t>
            </w:r>
            <w:r w:rsidR="008B43F1">
              <w:rPr>
                <w:rFonts w:ascii="ZWAdobeF" w:hAnsi="ZWAdobeF" w:cs="ZWAdobeF"/>
                <w:sz w:val="2"/>
                <w:szCs w:val="2"/>
              </w:rPr>
              <w:t>18F</w:t>
            </w:r>
            <w:r w:rsidRPr="00442D9E">
              <w:rPr>
                <w:rStyle w:val="EndnoteReference"/>
                <w:rFonts w:cs="Arial"/>
                <w:color w:val="000000" w:themeColor="text1"/>
                <w:sz w:val="22"/>
                <w:szCs w:val="22"/>
              </w:rPr>
              <w:endnoteReference w:id="18"/>
            </w:r>
          </w:p>
        </w:tc>
      </w:tr>
      <w:tr w:rsidR="00A22DDA" w:rsidRPr="00442D9E" w14:paraId="2C91C4F4" w14:textId="77777777" w:rsidTr="003B2996">
        <w:tc>
          <w:tcPr>
            <w:tcW w:w="2972" w:type="dxa"/>
          </w:tcPr>
          <w:p w14:paraId="338D638B"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Primary healthcare system</w:t>
            </w:r>
          </w:p>
        </w:tc>
        <w:tc>
          <w:tcPr>
            <w:tcW w:w="6650" w:type="dxa"/>
          </w:tcPr>
          <w:p w14:paraId="5230935A" w14:textId="335390FE"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Primary healthcare is the ‘frontline’ of the health care system in Australia. It is generally the first ‘layer’ of health care services that individuals, families and the community encounter that usually provide comprehensive and continuous care. The services provided as part of primary health care are broad, and include health promotion and education, prevention and screening, early intervention, treatment</w:t>
            </w:r>
            <w:r w:rsidR="00D06E3E">
              <w:rPr>
                <w:rFonts w:cs="Arial"/>
                <w:color w:val="000000" w:themeColor="text1"/>
                <w:sz w:val="22"/>
                <w:szCs w:val="22"/>
              </w:rPr>
              <w:t>,</w:t>
            </w:r>
            <w:r w:rsidRPr="00442D9E">
              <w:rPr>
                <w:rFonts w:cs="Arial"/>
                <w:color w:val="000000" w:themeColor="text1"/>
                <w:sz w:val="22"/>
                <w:szCs w:val="22"/>
              </w:rPr>
              <w:t xml:space="preserve"> and management.</w:t>
            </w:r>
            <w:r w:rsidR="008B43F1">
              <w:rPr>
                <w:rFonts w:ascii="ZWAdobeF" w:hAnsi="ZWAdobeF" w:cs="ZWAdobeF"/>
                <w:sz w:val="2"/>
                <w:szCs w:val="2"/>
              </w:rPr>
              <w:t>19F</w:t>
            </w:r>
            <w:r w:rsidRPr="00442D9E">
              <w:rPr>
                <w:rStyle w:val="EndnoteReference"/>
                <w:rFonts w:cs="Arial"/>
                <w:color w:val="000000" w:themeColor="text1"/>
                <w:sz w:val="22"/>
                <w:szCs w:val="22"/>
              </w:rPr>
              <w:endnoteReference w:id="19"/>
            </w:r>
          </w:p>
        </w:tc>
      </w:tr>
      <w:tr w:rsidR="00A22DDA" w:rsidRPr="00442D9E" w14:paraId="7B86FB59" w14:textId="77777777" w:rsidTr="003B2996">
        <w:tc>
          <w:tcPr>
            <w:tcW w:w="2972" w:type="dxa"/>
          </w:tcPr>
          <w:p w14:paraId="6F3D95A3"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Priority populations</w:t>
            </w:r>
          </w:p>
        </w:tc>
        <w:tc>
          <w:tcPr>
            <w:tcW w:w="6650" w:type="dxa"/>
          </w:tcPr>
          <w:p w14:paraId="28A2759E" w14:textId="27EE261C" w:rsidR="00A22DDA" w:rsidRPr="00442D9E" w:rsidRDefault="00A22DDA" w:rsidP="003B2996">
            <w:pPr>
              <w:spacing w:before="120" w:after="120"/>
              <w:rPr>
                <w:rFonts w:cs="Arial"/>
                <w:color w:val="000000" w:themeColor="text1"/>
                <w:sz w:val="22"/>
                <w:szCs w:val="22"/>
              </w:rPr>
            </w:pPr>
            <w:r>
              <w:rPr>
                <w:rFonts w:cs="Arial"/>
                <w:color w:val="000000" w:themeColor="text1"/>
                <w:sz w:val="22"/>
                <w:szCs w:val="22"/>
              </w:rPr>
              <w:t>Different groups within society who experience a disproportionate burden of disease, leading to differences in health outcomes and life expectancy</w:t>
            </w:r>
            <w:r w:rsidRPr="00442D9E">
              <w:rPr>
                <w:rFonts w:cs="Arial"/>
                <w:color w:val="000000" w:themeColor="text1"/>
                <w:sz w:val="22"/>
                <w:szCs w:val="22"/>
              </w:rPr>
              <w:t>.</w:t>
            </w:r>
            <w:r w:rsidR="008B43F1">
              <w:rPr>
                <w:rFonts w:ascii="ZWAdobeF" w:hAnsi="ZWAdobeF" w:cs="ZWAdobeF"/>
                <w:sz w:val="2"/>
                <w:szCs w:val="2"/>
              </w:rPr>
              <w:t>20F</w:t>
            </w:r>
            <w:r w:rsidRPr="00442D9E">
              <w:rPr>
                <w:rStyle w:val="EndnoteReference"/>
                <w:rFonts w:cs="Arial"/>
                <w:color w:val="000000" w:themeColor="text1"/>
                <w:sz w:val="22"/>
                <w:szCs w:val="22"/>
              </w:rPr>
              <w:endnoteReference w:id="20"/>
            </w:r>
          </w:p>
        </w:tc>
      </w:tr>
      <w:tr w:rsidR="00A22DDA" w:rsidRPr="00442D9E" w14:paraId="2D46E9A9" w14:textId="77777777" w:rsidTr="003B2996">
        <w:tc>
          <w:tcPr>
            <w:tcW w:w="2972" w:type="dxa"/>
          </w:tcPr>
          <w:p w14:paraId="04657414" w14:textId="6312882D"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lastRenderedPageBreak/>
              <w:t>Sex work</w:t>
            </w:r>
            <w:r w:rsidR="00AE0301">
              <w:rPr>
                <w:rFonts w:cs="Arial"/>
                <w:color w:val="000000" w:themeColor="text1"/>
                <w:sz w:val="22"/>
                <w:szCs w:val="22"/>
              </w:rPr>
              <w:t xml:space="preserve"> (in person)</w:t>
            </w:r>
            <w:r w:rsidRPr="00442D9E">
              <w:rPr>
                <w:rFonts w:cs="Arial"/>
                <w:color w:val="000000" w:themeColor="text1"/>
                <w:sz w:val="22"/>
                <w:szCs w:val="22"/>
              </w:rPr>
              <w:tab/>
            </w:r>
          </w:p>
        </w:tc>
        <w:tc>
          <w:tcPr>
            <w:tcW w:w="6650" w:type="dxa"/>
          </w:tcPr>
          <w:p w14:paraId="4322E8B9" w14:textId="5001238D"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The provision by a person of services that involve the person participating in sexual activity with another person in return for payment or reward.</w:t>
            </w:r>
          </w:p>
        </w:tc>
      </w:tr>
      <w:tr w:rsidR="00A22DDA" w:rsidRPr="00442D9E" w14:paraId="31B5FA60" w14:textId="77777777" w:rsidTr="003B2996">
        <w:tc>
          <w:tcPr>
            <w:tcW w:w="2972" w:type="dxa"/>
          </w:tcPr>
          <w:p w14:paraId="147EB3D1" w14:textId="77777777" w:rsidR="00A22DDA" w:rsidRPr="00442D9E" w:rsidRDefault="00A22DDA" w:rsidP="003B2996">
            <w:pPr>
              <w:spacing w:before="120" w:after="120"/>
              <w:rPr>
                <w:rFonts w:cs="Arial"/>
                <w:color w:val="000000" w:themeColor="text1"/>
                <w:sz w:val="22"/>
                <w:szCs w:val="22"/>
                <w:highlight w:val="white"/>
              </w:rPr>
            </w:pPr>
            <w:r w:rsidRPr="00442D9E">
              <w:rPr>
                <w:rFonts w:cs="Arial"/>
                <w:color w:val="000000" w:themeColor="text1"/>
                <w:sz w:val="22"/>
                <w:szCs w:val="22"/>
              </w:rPr>
              <w:t>Sexual and reproductive health and rights</w:t>
            </w:r>
          </w:p>
        </w:tc>
        <w:tc>
          <w:tcPr>
            <w:tcW w:w="6650" w:type="dxa"/>
          </w:tcPr>
          <w:p w14:paraId="5BC50DF9" w14:textId="7638BEBC" w:rsidR="00A22DDA" w:rsidRPr="00442D9E" w:rsidRDefault="00A22DDA" w:rsidP="003B2996">
            <w:pPr>
              <w:spacing w:before="120" w:after="120"/>
              <w:rPr>
                <w:rFonts w:cs="Arial"/>
                <w:color w:val="000000" w:themeColor="text1"/>
                <w:sz w:val="22"/>
                <w:szCs w:val="22"/>
                <w:highlight w:val="white"/>
              </w:rPr>
            </w:pPr>
            <w:r w:rsidRPr="00442D9E">
              <w:rPr>
                <w:rFonts w:cs="Arial"/>
                <w:color w:val="000000" w:themeColor="text1"/>
                <w:sz w:val="22"/>
                <w:szCs w:val="22"/>
                <w:highlight w:val="white"/>
              </w:rPr>
              <w:t>Sexual and reproductive health and rights (SRHR) are fundamental to health and well-being, gender equality, democracy, peace and security, and sustainable development. SRHR is grounded in the right and the ability of all individuals to decide over their own bodies, and to live healthy and productive lives.</w:t>
            </w:r>
            <w:r w:rsidR="008B43F1">
              <w:rPr>
                <w:rFonts w:ascii="ZWAdobeF" w:hAnsi="ZWAdobeF" w:cs="ZWAdobeF"/>
                <w:sz w:val="2"/>
                <w:szCs w:val="2"/>
                <w:highlight w:val="white"/>
              </w:rPr>
              <w:t>21F</w:t>
            </w:r>
            <w:r w:rsidRPr="00442D9E">
              <w:rPr>
                <w:rStyle w:val="EndnoteReference"/>
                <w:rFonts w:cs="Arial"/>
                <w:color w:val="000000" w:themeColor="text1"/>
                <w:sz w:val="22"/>
                <w:szCs w:val="22"/>
                <w:highlight w:val="white"/>
              </w:rPr>
              <w:endnoteReference w:id="21"/>
            </w:r>
          </w:p>
        </w:tc>
      </w:tr>
      <w:tr w:rsidR="00A22DDA" w:rsidRPr="00442D9E" w14:paraId="47C28A89" w14:textId="77777777" w:rsidTr="003B2996">
        <w:tc>
          <w:tcPr>
            <w:tcW w:w="2972" w:type="dxa"/>
          </w:tcPr>
          <w:p w14:paraId="2D530473"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Social determinants of health</w:t>
            </w:r>
          </w:p>
        </w:tc>
        <w:tc>
          <w:tcPr>
            <w:tcW w:w="6650" w:type="dxa"/>
          </w:tcPr>
          <w:p w14:paraId="64DE85DE" w14:textId="79FA25D5" w:rsidR="00A22DDA" w:rsidRPr="00442D9E" w:rsidRDefault="00A22DDA" w:rsidP="003B2996">
            <w:pPr>
              <w:spacing w:before="120" w:after="120"/>
              <w:rPr>
                <w:rFonts w:cs="Arial"/>
                <w:color w:val="000000" w:themeColor="text1"/>
                <w:sz w:val="22"/>
                <w:szCs w:val="22"/>
                <w:highlight w:val="white"/>
              </w:rPr>
            </w:pPr>
            <w:r w:rsidRPr="00442D9E">
              <w:rPr>
                <w:rFonts w:cs="Arial"/>
                <w:color w:val="000000" w:themeColor="text1"/>
                <w:sz w:val="22"/>
                <w:szCs w:val="22"/>
                <w:highlight w:val="white"/>
              </w:rPr>
              <w:t>The social determinants of health (SDH) are the non-medical factors that influence health outcomes. They are the conditions in which people are born, grow, work, live, and age, and the wider set of forces and systems shaping the conditions of daily life. These forces and systems include economic policies and systems, development agendas, social norms, social policies</w:t>
            </w:r>
            <w:r w:rsidR="00AE0301">
              <w:rPr>
                <w:rFonts w:cs="Arial"/>
                <w:color w:val="000000" w:themeColor="text1"/>
                <w:sz w:val="22"/>
                <w:szCs w:val="22"/>
                <w:highlight w:val="white"/>
              </w:rPr>
              <w:t>,</w:t>
            </w:r>
            <w:r w:rsidRPr="00442D9E">
              <w:rPr>
                <w:rFonts w:cs="Arial"/>
                <w:color w:val="000000" w:themeColor="text1"/>
                <w:sz w:val="22"/>
                <w:szCs w:val="22"/>
                <w:highlight w:val="white"/>
              </w:rPr>
              <w:t xml:space="preserve"> and political systems.</w:t>
            </w:r>
            <w:r w:rsidR="008B43F1">
              <w:rPr>
                <w:rFonts w:ascii="ZWAdobeF" w:hAnsi="ZWAdobeF" w:cs="ZWAdobeF"/>
                <w:sz w:val="2"/>
                <w:szCs w:val="2"/>
                <w:highlight w:val="white"/>
              </w:rPr>
              <w:t>22F</w:t>
            </w:r>
            <w:r w:rsidRPr="00442D9E">
              <w:rPr>
                <w:rStyle w:val="EndnoteReference"/>
                <w:rFonts w:cs="Arial"/>
                <w:color w:val="000000" w:themeColor="text1"/>
                <w:sz w:val="22"/>
                <w:szCs w:val="22"/>
                <w:highlight w:val="white"/>
              </w:rPr>
              <w:endnoteReference w:id="22"/>
            </w:r>
          </w:p>
        </w:tc>
      </w:tr>
      <w:tr w:rsidR="00A22DDA" w:rsidRPr="00442D9E" w14:paraId="0AB72A3E" w14:textId="77777777" w:rsidTr="003B2996">
        <w:tc>
          <w:tcPr>
            <w:tcW w:w="2972" w:type="dxa"/>
            <w:vAlign w:val="center"/>
          </w:tcPr>
          <w:p w14:paraId="0D499166" w14:textId="77777777" w:rsidR="00A22DDA" w:rsidRPr="00442D9E" w:rsidRDefault="00A22DDA" w:rsidP="003B2996">
            <w:pPr>
              <w:spacing w:before="120" w:after="120"/>
              <w:rPr>
                <w:rFonts w:cs="Arial"/>
                <w:color w:val="000000" w:themeColor="text1"/>
                <w:sz w:val="22"/>
                <w:szCs w:val="22"/>
              </w:rPr>
            </w:pPr>
            <w:r w:rsidRPr="00442D9E">
              <w:rPr>
                <w:rFonts w:cs="Arial"/>
                <w:sz w:val="22"/>
                <w:szCs w:val="22"/>
              </w:rPr>
              <w:t>STI</w:t>
            </w:r>
          </w:p>
        </w:tc>
        <w:tc>
          <w:tcPr>
            <w:tcW w:w="6650" w:type="dxa"/>
            <w:vAlign w:val="center"/>
          </w:tcPr>
          <w:p w14:paraId="5A5BB18C" w14:textId="18EB3F96" w:rsidR="00A22DDA" w:rsidRPr="00442D9E" w:rsidRDefault="00A22DDA" w:rsidP="003B2996">
            <w:pPr>
              <w:spacing w:before="120" w:after="120"/>
              <w:rPr>
                <w:rFonts w:cs="Arial"/>
                <w:color w:val="000000" w:themeColor="text1"/>
                <w:sz w:val="22"/>
                <w:szCs w:val="22"/>
                <w:highlight w:val="white"/>
              </w:rPr>
            </w:pPr>
            <w:r w:rsidRPr="00442D9E">
              <w:rPr>
                <w:rFonts w:cs="Arial"/>
                <w:sz w:val="22"/>
                <w:szCs w:val="22"/>
              </w:rPr>
              <w:t>Sexually transmissible infections</w:t>
            </w:r>
            <w:r w:rsidR="00F47662">
              <w:rPr>
                <w:rFonts w:cs="Arial"/>
                <w:sz w:val="22"/>
                <w:szCs w:val="22"/>
              </w:rPr>
              <w:t>.</w:t>
            </w:r>
          </w:p>
        </w:tc>
      </w:tr>
      <w:tr w:rsidR="00A22DDA" w:rsidRPr="00442D9E" w14:paraId="40997336" w14:textId="77777777" w:rsidTr="003B2996">
        <w:tc>
          <w:tcPr>
            <w:tcW w:w="2972" w:type="dxa"/>
          </w:tcPr>
          <w:p w14:paraId="2FDC52F5" w14:textId="77777777" w:rsidR="00A22DDA" w:rsidRPr="00442D9E" w:rsidRDefault="00A22DDA" w:rsidP="003B2996">
            <w:pPr>
              <w:spacing w:before="120" w:after="120"/>
              <w:rPr>
                <w:rFonts w:cs="Arial"/>
                <w:color w:val="000000" w:themeColor="text1"/>
                <w:sz w:val="22"/>
                <w:szCs w:val="22"/>
              </w:rPr>
            </w:pPr>
            <w:r w:rsidRPr="00442D9E">
              <w:rPr>
                <w:rFonts w:cs="Arial"/>
                <w:color w:val="000000" w:themeColor="text1"/>
                <w:sz w:val="22"/>
                <w:szCs w:val="22"/>
              </w:rPr>
              <w:t>Stigma</w:t>
            </w:r>
          </w:p>
        </w:tc>
        <w:tc>
          <w:tcPr>
            <w:tcW w:w="6650" w:type="dxa"/>
          </w:tcPr>
          <w:p w14:paraId="326750F4" w14:textId="0C8A602E" w:rsidR="00A22DDA" w:rsidRPr="00442D9E" w:rsidRDefault="00A22DDA" w:rsidP="003B2996">
            <w:pPr>
              <w:spacing w:before="120" w:after="120"/>
              <w:rPr>
                <w:rFonts w:cs="Arial"/>
                <w:color w:val="000000" w:themeColor="text1"/>
                <w:sz w:val="22"/>
                <w:szCs w:val="22"/>
                <w:highlight w:val="white"/>
              </w:rPr>
            </w:pPr>
            <w:r w:rsidRPr="00442D9E">
              <w:rPr>
                <w:rFonts w:cs="Arial"/>
                <w:color w:val="000000" w:themeColor="text1"/>
                <w:sz w:val="22"/>
                <w:szCs w:val="22"/>
                <w:highlight w:val="white"/>
              </w:rPr>
              <w:t>Stigma refers to any negative attitude, prejudice, or false belief associated with specific traits, circumstances, or health symptoms.</w:t>
            </w:r>
            <w:r w:rsidR="008B43F1">
              <w:rPr>
                <w:rFonts w:ascii="ZWAdobeF" w:hAnsi="ZWAdobeF" w:cs="ZWAdobeF"/>
                <w:sz w:val="2"/>
                <w:szCs w:val="2"/>
                <w:highlight w:val="white"/>
              </w:rPr>
              <w:t>23F</w:t>
            </w:r>
            <w:r w:rsidRPr="00442D9E">
              <w:rPr>
                <w:rStyle w:val="EndnoteReference"/>
                <w:rFonts w:cs="Arial"/>
                <w:color w:val="000000" w:themeColor="text1"/>
                <w:sz w:val="22"/>
                <w:szCs w:val="22"/>
                <w:highlight w:val="white"/>
              </w:rPr>
              <w:endnoteReference w:id="23"/>
            </w:r>
            <w:r w:rsidRPr="00442D9E">
              <w:rPr>
                <w:rFonts w:cs="Arial"/>
                <w:color w:val="000000" w:themeColor="text1"/>
                <w:sz w:val="22"/>
                <w:szCs w:val="22"/>
                <w:highlight w:val="white"/>
              </w:rPr>
              <w:t> </w:t>
            </w:r>
          </w:p>
        </w:tc>
      </w:tr>
      <w:tr w:rsidR="00856C9D" w:rsidRPr="00442D9E" w14:paraId="38F670E2" w14:textId="77777777" w:rsidTr="003B2996">
        <w:tc>
          <w:tcPr>
            <w:tcW w:w="2972" w:type="dxa"/>
          </w:tcPr>
          <w:p w14:paraId="7BA56C1A" w14:textId="19F241F1" w:rsidR="00856C9D" w:rsidRPr="00442D9E" w:rsidRDefault="00856C9D" w:rsidP="003B2996">
            <w:pPr>
              <w:spacing w:before="120" w:after="120"/>
              <w:rPr>
                <w:rFonts w:cs="Arial"/>
                <w:color w:val="000000" w:themeColor="text1"/>
                <w:sz w:val="22"/>
                <w:szCs w:val="22"/>
              </w:rPr>
            </w:pPr>
            <w:r>
              <w:rPr>
                <w:rFonts w:cs="Arial"/>
                <w:color w:val="000000" w:themeColor="text1"/>
                <w:sz w:val="22"/>
                <w:szCs w:val="22"/>
              </w:rPr>
              <w:t>Transgender</w:t>
            </w:r>
          </w:p>
        </w:tc>
        <w:tc>
          <w:tcPr>
            <w:tcW w:w="6650" w:type="dxa"/>
          </w:tcPr>
          <w:p w14:paraId="14310E18" w14:textId="009DB378" w:rsidR="00856C9D" w:rsidRPr="00442D9E" w:rsidRDefault="00856C9D" w:rsidP="003B2996">
            <w:pPr>
              <w:spacing w:before="120" w:after="120"/>
              <w:rPr>
                <w:rFonts w:cs="Arial"/>
                <w:color w:val="000000" w:themeColor="text1"/>
                <w:sz w:val="22"/>
                <w:szCs w:val="22"/>
                <w:highlight w:val="white"/>
              </w:rPr>
            </w:pPr>
            <w:r>
              <w:rPr>
                <w:rFonts w:cs="Arial"/>
                <w:color w:val="000000" w:themeColor="text1"/>
                <w:sz w:val="22"/>
                <w:szCs w:val="22"/>
                <w:highlight w:val="white"/>
              </w:rPr>
              <w:t xml:space="preserve">People </w:t>
            </w:r>
            <w:r w:rsidR="00ED730A">
              <w:rPr>
                <w:rFonts w:cs="Arial"/>
                <w:color w:val="000000" w:themeColor="text1"/>
                <w:sz w:val="22"/>
                <w:szCs w:val="22"/>
                <w:highlight w:val="white"/>
              </w:rPr>
              <w:t>whose gender identity is different to that which was legally assigned to them at birth.</w:t>
            </w:r>
          </w:p>
        </w:tc>
      </w:tr>
      <w:tr w:rsidR="00A22DDA" w:rsidRPr="00442D9E" w14:paraId="78535455" w14:textId="77777777" w:rsidTr="003B2996">
        <w:tc>
          <w:tcPr>
            <w:tcW w:w="2972" w:type="dxa"/>
            <w:vAlign w:val="center"/>
          </w:tcPr>
          <w:p w14:paraId="59E5BEE6" w14:textId="77777777" w:rsidR="00A22DDA" w:rsidRPr="00442D9E" w:rsidRDefault="00A22DDA" w:rsidP="003B2996">
            <w:pPr>
              <w:spacing w:before="120" w:after="120"/>
              <w:rPr>
                <w:rFonts w:cs="Arial"/>
                <w:color w:val="000000" w:themeColor="text1"/>
                <w:sz w:val="22"/>
                <w:szCs w:val="22"/>
              </w:rPr>
            </w:pPr>
            <w:r w:rsidRPr="00442D9E">
              <w:rPr>
                <w:rFonts w:cs="Arial"/>
                <w:sz w:val="22"/>
                <w:szCs w:val="22"/>
              </w:rPr>
              <w:t>WHO</w:t>
            </w:r>
          </w:p>
        </w:tc>
        <w:tc>
          <w:tcPr>
            <w:tcW w:w="6650" w:type="dxa"/>
            <w:vAlign w:val="center"/>
          </w:tcPr>
          <w:p w14:paraId="5DD9670D" w14:textId="5490AB0D" w:rsidR="00A22DDA" w:rsidRPr="00442D9E" w:rsidRDefault="00A22DDA" w:rsidP="003B2996">
            <w:pPr>
              <w:spacing w:before="120" w:after="120"/>
              <w:rPr>
                <w:rFonts w:cs="Arial"/>
                <w:color w:val="000000" w:themeColor="text1"/>
                <w:sz w:val="22"/>
                <w:szCs w:val="22"/>
                <w:highlight w:val="white"/>
              </w:rPr>
            </w:pPr>
            <w:r w:rsidRPr="00442D9E">
              <w:rPr>
                <w:rFonts w:cs="Arial"/>
                <w:sz w:val="22"/>
                <w:szCs w:val="22"/>
              </w:rPr>
              <w:t>World Health Organization</w:t>
            </w:r>
            <w:r w:rsidR="008E5475">
              <w:rPr>
                <w:rFonts w:cs="Arial"/>
                <w:sz w:val="22"/>
                <w:szCs w:val="22"/>
              </w:rPr>
              <w:t>.</w:t>
            </w:r>
          </w:p>
        </w:tc>
      </w:tr>
    </w:tbl>
    <w:p w14:paraId="16BAE42B" w14:textId="7513F420" w:rsidR="00031E79" w:rsidRPr="00442D9E" w:rsidRDefault="00031E79">
      <w:pPr>
        <w:rPr>
          <w:rFonts w:cs="Arial"/>
          <w:b/>
          <w:bCs/>
          <w:color w:val="000000" w:themeColor="text1"/>
          <w:sz w:val="30"/>
          <w:szCs w:val="30"/>
          <w:highlight w:val="white"/>
        </w:rPr>
      </w:pPr>
      <w:r w:rsidRPr="00442D9E">
        <w:rPr>
          <w:rFonts w:cs="Arial"/>
          <w:b/>
          <w:bCs/>
          <w:color w:val="000000" w:themeColor="text1"/>
          <w:sz w:val="30"/>
          <w:szCs w:val="30"/>
          <w:highlight w:val="white"/>
        </w:rPr>
        <w:br w:type="page"/>
      </w:r>
    </w:p>
    <w:p w14:paraId="1D2C7B1A" w14:textId="4D642A63" w:rsidR="00031E79" w:rsidRPr="00442D9E" w:rsidRDefault="00031E79" w:rsidP="00624185">
      <w:pPr>
        <w:jc w:val="both"/>
        <w:rPr>
          <w:rFonts w:cs="Arial"/>
          <w:b/>
          <w:bCs/>
          <w:color w:val="000000" w:themeColor="text1"/>
          <w:sz w:val="30"/>
          <w:szCs w:val="30"/>
          <w:highlight w:val="white"/>
        </w:rPr>
      </w:pPr>
      <w:r w:rsidRPr="00442D9E">
        <w:rPr>
          <w:rFonts w:cs="Arial"/>
          <w:b/>
          <w:bCs/>
          <w:color w:val="000000" w:themeColor="text1"/>
          <w:sz w:val="30"/>
          <w:szCs w:val="30"/>
          <w:highlight w:val="white"/>
        </w:rPr>
        <w:lastRenderedPageBreak/>
        <w:t>List of Case Studies</w:t>
      </w:r>
    </w:p>
    <w:p w14:paraId="1C49F016" w14:textId="764F2839" w:rsidR="00F67B02" w:rsidRPr="006C29F2" w:rsidRDefault="006C29F2" w:rsidP="00D74561">
      <w:pPr>
        <w:spacing w:before="120"/>
        <w:rPr>
          <w:rStyle w:val="Hyperlink"/>
          <w:rFonts w:eastAsia="Times New Roman" w:cs="Arial"/>
          <w:sz w:val="22"/>
          <w:szCs w:val="22"/>
        </w:rPr>
      </w:pPr>
      <w:r>
        <w:rPr>
          <w:rFonts w:eastAsia="Times New Roman" w:cs="Arial"/>
          <w:b/>
          <w:bCs/>
          <w:sz w:val="22"/>
          <w:szCs w:val="22"/>
        </w:rPr>
        <w:fldChar w:fldCharType="begin"/>
      </w:r>
      <w:r>
        <w:rPr>
          <w:rFonts w:eastAsia="Times New Roman" w:cs="Arial"/>
          <w:b/>
          <w:bCs/>
          <w:sz w:val="22"/>
          <w:szCs w:val="22"/>
        </w:rPr>
        <w:instrText>HYPERLINK  \l "_Case_study:_Decentralising"</w:instrText>
      </w:r>
      <w:r>
        <w:rPr>
          <w:rFonts w:eastAsia="Times New Roman" w:cs="Arial"/>
          <w:b/>
          <w:bCs/>
          <w:sz w:val="22"/>
          <w:szCs w:val="22"/>
        </w:rPr>
      </w:r>
      <w:r>
        <w:rPr>
          <w:rFonts w:eastAsia="Times New Roman" w:cs="Arial"/>
          <w:b/>
          <w:bCs/>
          <w:sz w:val="22"/>
          <w:szCs w:val="22"/>
        </w:rPr>
        <w:fldChar w:fldCharType="separate"/>
      </w:r>
      <w:r w:rsidR="00F67B02" w:rsidRPr="006C29F2">
        <w:rPr>
          <w:rStyle w:val="Hyperlink"/>
          <w:rFonts w:eastAsia="Times New Roman" w:cs="Arial"/>
          <w:b/>
          <w:bCs/>
          <w:sz w:val="22"/>
          <w:szCs w:val="22"/>
        </w:rPr>
        <w:t>Decentralising testing and treatment: Implementing a hub-and-spoke model</w:t>
      </w:r>
    </w:p>
    <w:p w14:paraId="5B8C2F18" w14:textId="1C67EB17" w:rsidR="00F67B02" w:rsidRPr="006C29F2" w:rsidRDefault="006C29F2" w:rsidP="00D74561">
      <w:pPr>
        <w:spacing w:before="120"/>
        <w:rPr>
          <w:rFonts w:eastAsia="Times New Roman" w:cs="Arial"/>
          <w:b/>
          <w:bCs/>
          <w:sz w:val="22"/>
          <w:szCs w:val="22"/>
        </w:rPr>
      </w:pPr>
      <w:r>
        <w:rPr>
          <w:rFonts w:eastAsia="Times New Roman" w:cs="Arial"/>
          <w:b/>
          <w:bCs/>
          <w:sz w:val="22"/>
          <w:szCs w:val="22"/>
        </w:rPr>
        <w:fldChar w:fldCharType="end"/>
      </w:r>
      <w:r w:rsidR="00F67B02" w:rsidRPr="00442D9E">
        <w:rPr>
          <w:rFonts w:eastAsia="Times New Roman" w:cs="Arial"/>
          <w:color w:val="000000" w:themeColor="text1"/>
          <w:sz w:val="22"/>
          <w:szCs w:val="22"/>
        </w:rPr>
        <w:t>Victoria</w:t>
      </w:r>
    </w:p>
    <w:p w14:paraId="2BF780EA" w14:textId="77777777" w:rsidR="00F67B02" w:rsidRPr="00442D9E" w:rsidRDefault="00F67B02" w:rsidP="00D74561">
      <w:pPr>
        <w:spacing w:before="120"/>
        <w:rPr>
          <w:rFonts w:eastAsia="Times New Roman" w:cs="Arial"/>
          <w:color w:val="000000" w:themeColor="text1"/>
          <w:sz w:val="22"/>
          <w:szCs w:val="22"/>
        </w:rPr>
      </w:pPr>
      <w:r w:rsidRPr="00442D9E">
        <w:rPr>
          <w:rFonts w:eastAsia="Times New Roman" w:cs="Arial"/>
          <w:color w:val="000000" w:themeColor="text1"/>
          <w:sz w:val="22"/>
          <w:szCs w:val="22"/>
        </w:rPr>
        <w:t>Melbourne Sexual Health Centre</w:t>
      </w:r>
    </w:p>
    <w:p w14:paraId="3DC9CCBF" w14:textId="49985DC6" w:rsidR="00031E79" w:rsidRPr="00533F8D" w:rsidRDefault="006C29F2" w:rsidP="00D74561">
      <w:pPr>
        <w:spacing w:before="120"/>
        <w:rPr>
          <w:rStyle w:val="Hyperlink"/>
          <w:rFonts w:eastAsia="Times New Roman" w:cs="Arial"/>
          <w:b/>
          <w:bCs/>
          <w:sz w:val="22"/>
          <w:szCs w:val="22"/>
        </w:rPr>
      </w:pPr>
      <w:r>
        <w:rPr>
          <w:rFonts w:eastAsia="Times New Roman" w:cs="Arial"/>
          <w:b/>
          <w:bCs/>
          <w:color w:val="000000" w:themeColor="text1"/>
          <w:sz w:val="22"/>
          <w:szCs w:val="22"/>
        </w:rPr>
        <w:fldChar w:fldCharType="begin"/>
      </w:r>
      <w:r w:rsidR="00420035">
        <w:rPr>
          <w:rFonts w:eastAsia="Times New Roman" w:cs="Arial"/>
          <w:b/>
          <w:bCs/>
          <w:color w:val="000000" w:themeColor="text1"/>
          <w:sz w:val="22"/>
          <w:szCs w:val="22"/>
        </w:rPr>
        <w:instrText>HYPERLINK  \l "_Case_study:_Dispensing"</w:instrText>
      </w:r>
      <w:r>
        <w:rPr>
          <w:rFonts w:eastAsia="Times New Roman" w:cs="Arial"/>
          <w:b/>
          <w:bCs/>
          <w:color w:val="000000" w:themeColor="text1"/>
          <w:sz w:val="22"/>
          <w:szCs w:val="22"/>
        </w:rPr>
      </w:r>
      <w:r>
        <w:rPr>
          <w:rFonts w:eastAsia="Times New Roman" w:cs="Arial"/>
          <w:b/>
          <w:bCs/>
          <w:color w:val="000000" w:themeColor="text1"/>
          <w:sz w:val="22"/>
          <w:szCs w:val="22"/>
        </w:rPr>
        <w:fldChar w:fldCharType="separate"/>
      </w:r>
      <w:r w:rsidR="00031E79" w:rsidRPr="006C29F2">
        <w:rPr>
          <w:rStyle w:val="Hyperlink"/>
          <w:rFonts w:eastAsia="Times New Roman" w:cs="Arial"/>
          <w:b/>
          <w:bCs/>
          <w:sz w:val="22"/>
          <w:szCs w:val="22"/>
        </w:rPr>
        <w:t>Dispensing with access barriers: Piloting STI Vending Machines to deliver free self-tests</w:t>
      </w:r>
    </w:p>
    <w:p w14:paraId="01C0965B" w14:textId="059F34B9" w:rsidR="00031E79" w:rsidRPr="00442D9E" w:rsidRDefault="006C29F2" w:rsidP="00D74561">
      <w:pPr>
        <w:spacing w:before="120"/>
        <w:rPr>
          <w:rFonts w:eastAsia="Times New Roman" w:cs="Arial"/>
          <w:color w:val="000000" w:themeColor="text1"/>
          <w:sz w:val="22"/>
          <w:szCs w:val="22"/>
        </w:rPr>
      </w:pPr>
      <w:r>
        <w:rPr>
          <w:rFonts w:eastAsia="Times New Roman" w:cs="Arial"/>
          <w:b/>
          <w:bCs/>
          <w:color w:val="000000" w:themeColor="text1"/>
          <w:sz w:val="22"/>
          <w:szCs w:val="22"/>
        </w:rPr>
        <w:fldChar w:fldCharType="end"/>
      </w:r>
      <w:r w:rsidR="00031E79" w:rsidRPr="00442D9E">
        <w:rPr>
          <w:rFonts w:eastAsia="Times New Roman" w:cs="Arial"/>
          <w:color w:val="000000" w:themeColor="text1"/>
          <w:sz w:val="22"/>
          <w:szCs w:val="22"/>
        </w:rPr>
        <w:t>Victoria</w:t>
      </w:r>
    </w:p>
    <w:p w14:paraId="5454C1CD" w14:textId="77777777" w:rsidR="00031E79" w:rsidRPr="00442D9E" w:rsidRDefault="00031E79" w:rsidP="00D74561">
      <w:pPr>
        <w:spacing w:before="120"/>
        <w:rPr>
          <w:rFonts w:eastAsia="Times New Roman" w:cs="Arial"/>
          <w:color w:val="000000" w:themeColor="text1"/>
          <w:sz w:val="22"/>
          <w:szCs w:val="22"/>
        </w:rPr>
      </w:pPr>
      <w:r w:rsidRPr="00442D9E">
        <w:rPr>
          <w:rFonts w:eastAsia="Times New Roman" w:cs="Arial"/>
          <w:color w:val="000000" w:themeColor="text1"/>
          <w:sz w:val="22"/>
          <w:szCs w:val="22"/>
        </w:rPr>
        <w:t>Centre for Excellence in Rural Sexual Health</w:t>
      </w:r>
    </w:p>
    <w:p w14:paraId="42F1313E" w14:textId="15A60F00" w:rsidR="006D5871" w:rsidRPr="001E0C83" w:rsidRDefault="00420035" w:rsidP="00D74561">
      <w:pPr>
        <w:spacing w:before="120"/>
        <w:rPr>
          <w:rStyle w:val="Hyperlink"/>
          <w:rFonts w:eastAsia="Times New Roman" w:cs="Arial"/>
          <w:b/>
          <w:bCs/>
          <w:sz w:val="22"/>
          <w:szCs w:val="22"/>
        </w:rPr>
      </w:pPr>
      <w:r w:rsidRPr="001E0C83">
        <w:rPr>
          <w:rFonts w:eastAsia="Times New Roman" w:cs="Arial"/>
          <w:b/>
          <w:bCs/>
          <w:sz w:val="22"/>
          <w:szCs w:val="22"/>
        </w:rPr>
        <w:fldChar w:fldCharType="begin"/>
      </w:r>
      <w:r w:rsidRPr="001E0C83">
        <w:rPr>
          <w:rFonts w:eastAsia="Times New Roman" w:cs="Arial"/>
          <w:b/>
          <w:bCs/>
          <w:sz w:val="22"/>
          <w:szCs w:val="22"/>
        </w:rPr>
        <w:instrText>HYPERLINK  \l "_Case_study:_Meeting"</w:instrText>
      </w:r>
      <w:r w:rsidRPr="001E0C83">
        <w:rPr>
          <w:rFonts w:eastAsia="Times New Roman" w:cs="Arial"/>
          <w:b/>
          <w:bCs/>
          <w:sz w:val="22"/>
          <w:szCs w:val="22"/>
        </w:rPr>
      </w:r>
      <w:r w:rsidRPr="001E0C83">
        <w:rPr>
          <w:rFonts w:eastAsia="Times New Roman" w:cs="Arial"/>
          <w:b/>
          <w:bCs/>
          <w:sz w:val="22"/>
          <w:szCs w:val="22"/>
        </w:rPr>
        <w:fldChar w:fldCharType="separate"/>
      </w:r>
      <w:r w:rsidR="00ED1C21" w:rsidRPr="001E0C83">
        <w:rPr>
          <w:rStyle w:val="Hyperlink"/>
          <w:rFonts w:eastAsia="Times New Roman" w:cs="Arial"/>
          <w:b/>
          <w:bCs/>
          <w:sz w:val="22"/>
          <w:szCs w:val="22"/>
        </w:rPr>
        <w:t>Meeting</w:t>
      </w:r>
      <w:r w:rsidR="00FA0350" w:rsidRPr="001E0C83">
        <w:rPr>
          <w:rStyle w:val="Hyperlink"/>
          <w:rFonts w:eastAsia="Times New Roman" w:cs="Arial"/>
          <w:b/>
          <w:bCs/>
          <w:sz w:val="22"/>
          <w:szCs w:val="22"/>
        </w:rPr>
        <w:t xml:space="preserve"> communit</w:t>
      </w:r>
      <w:bookmarkStart w:id="7" w:name="_Hlt148614018"/>
      <w:r w:rsidR="00FA0350" w:rsidRPr="001E0C83">
        <w:rPr>
          <w:rStyle w:val="Hyperlink"/>
          <w:rFonts w:eastAsia="Times New Roman" w:cs="Arial"/>
          <w:b/>
          <w:bCs/>
          <w:sz w:val="22"/>
          <w:szCs w:val="22"/>
        </w:rPr>
        <w:t>i</w:t>
      </w:r>
      <w:bookmarkEnd w:id="7"/>
      <w:r w:rsidR="00FA0350" w:rsidRPr="001E0C83">
        <w:rPr>
          <w:rStyle w:val="Hyperlink"/>
          <w:rFonts w:eastAsia="Times New Roman" w:cs="Arial"/>
          <w:b/>
          <w:bCs/>
          <w:sz w:val="22"/>
          <w:szCs w:val="22"/>
        </w:rPr>
        <w:t>es</w:t>
      </w:r>
      <w:r w:rsidR="00ED1C21" w:rsidRPr="001E0C83">
        <w:rPr>
          <w:rStyle w:val="Hyperlink"/>
          <w:rFonts w:eastAsia="Times New Roman" w:cs="Arial"/>
          <w:b/>
          <w:bCs/>
          <w:sz w:val="22"/>
          <w:szCs w:val="22"/>
        </w:rPr>
        <w:t>'</w:t>
      </w:r>
      <w:r w:rsidR="00FA0350" w:rsidRPr="001E0C83">
        <w:rPr>
          <w:rStyle w:val="Hyperlink"/>
          <w:rFonts w:eastAsia="Times New Roman" w:cs="Arial"/>
          <w:b/>
          <w:bCs/>
          <w:sz w:val="22"/>
          <w:szCs w:val="22"/>
        </w:rPr>
        <w:t xml:space="preserve"> need</w:t>
      </w:r>
      <w:r w:rsidR="00ED1C21" w:rsidRPr="001E0C83">
        <w:rPr>
          <w:rStyle w:val="Hyperlink"/>
          <w:rFonts w:eastAsia="Times New Roman" w:cs="Arial"/>
          <w:b/>
          <w:bCs/>
          <w:sz w:val="22"/>
          <w:szCs w:val="22"/>
        </w:rPr>
        <w:t>s</w:t>
      </w:r>
      <w:r w:rsidR="00FA0350" w:rsidRPr="001E0C83">
        <w:rPr>
          <w:rStyle w:val="Hyperlink"/>
          <w:rFonts w:eastAsia="Times New Roman" w:cs="Arial"/>
          <w:b/>
          <w:bCs/>
          <w:sz w:val="22"/>
          <w:szCs w:val="22"/>
        </w:rPr>
        <w:t xml:space="preserve">: Tailoring culturally appropriate services </w:t>
      </w:r>
      <w:r w:rsidR="004C6E08" w:rsidRPr="001E0C83">
        <w:rPr>
          <w:rStyle w:val="Hyperlink"/>
          <w:rFonts w:eastAsia="Times New Roman" w:cs="Arial"/>
          <w:b/>
          <w:bCs/>
          <w:sz w:val="22"/>
          <w:szCs w:val="22"/>
        </w:rPr>
        <w:t>to control syphilis</w:t>
      </w:r>
    </w:p>
    <w:p w14:paraId="33E6A977" w14:textId="266CF937" w:rsidR="004C6E08" w:rsidRPr="001E0C83" w:rsidRDefault="00420035" w:rsidP="00D74561">
      <w:pPr>
        <w:spacing w:before="120"/>
        <w:rPr>
          <w:rFonts w:eastAsia="Times New Roman" w:cs="Arial"/>
          <w:color w:val="000000" w:themeColor="text1"/>
          <w:sz w:val="22"/>
          <w:szCs w:val="22"/>
        </w:rPr>
      </w:pPr>
      <w:r w:rsidRPr="001E0C83">
        <w:rPr>
          <w:rFonts w:eastAsia="Times New Roman" w:cs="Arial"/>
          <w:b/>
          <w:bCs/>
          <w:sz w:val="22"/>
          <w:szCs w:val="22"/>
        </w:rPr>
        <w:fldChar w:fldCharType="end"/>
      </w:r>
      <w:r w:rsidR="004C6E08" w:rsidRPr="001E0C83">
        <w:rPr>
          <w:rFonts w:eastAsia="Times New Roman" w:cs="Arial"/>
          <w:color w:val="000000" w:themeColor="text1"/>
          <w:sz w:val="22"/>
          <w:szCs w:val="22"/>
        </w:rPr>
        <w:t>Western Australia</w:t>
      </w:r>
    </w:p>
    <w:p w14:paraId="4109543D" w14:textId="280E3F76" w:rsidR="004C6E08" w:rsidRPr="00442D9E" w:rsidRDefault="004C6E08" w:rsidP="00D74561">
      <w:pPr>
        <w:spacing w:before="120"/>
        <w:rPr>
          <w:rFonts w:eastAsia="Times New Roman" w:cs="Arial"/>
          <w:color w:val="000000" w:themeColor="text1"/>
          <w:sz w:val="22"/>
          <w:szCs w:val="22"/>
        </w:rPr>
      </w:pPr>
      <w:r w:rsidRPr="001E0C83">
        <w:rPr>
          <w:rFonts w:eastAsia="Times New Roman" w:cs="Arial"/>
          <w:color w:val="000000" w:themeColor="text1"/>
          <w:sz w:val="22"/>
          <w:szCs w:val="22"/>
        </w:rPr>
        <w:t xml:space="preserve">Kimberley Aboriginal </w:t>
      </w:r>
      <w:r w:rsidR="00250F61" w:rsidRPr="001E0C83">
        <w:rPr>
          <w:rFonts w:eastAsia="Times New Roman" w:cs="Arial"/>
          <w:color w:val="000000" w:themeColor="text1"/>
          <w:sz w:val="22"/>
          <w:szCs w:val="22"/>
        </w:rPr>
        <w:t>Medical Service and National Aboriginal Community Controlled Health Organisation</w:t>
      </w:r>
      <w:r w:rsidR="00250F61" w:rsidRPr="00442D9E">
        <w:rPr>
          <w:rFonts w:eastAsia="Times New Roman" w:cs="Arial"/>
          <w:color w:val="000000" w:themeColor="text1"/>
          <w:sz w:val="22"/>
          <w:szCs w:val="22"/>
        </w:rPr>
        <w:t xml:space="preserve"> </w:t>
      </w:r>
    </w:p>
    <w:p w14:paraId="3BCC3FC7" w14:textId="40E1E92F" w:rsidR="00031E79" w:rsidRPr="00420035" w:rsidRDefault="00420035" w:rsidP="00D74561">
      <w:pPr>
        <w:spacing w:before="120"/>
        <w:rPr>
          <w:rStyle w:val="Hyperlink"/>
          <w:rFonts w:eastAsia="Times New Roman" w:cs="Arial"/>
          <w:sz w:val="22"/>
          <w:szCs w:val="22"/>
        </w:rPr>
      </w:pPr>
      <w:r>
        <w:rPr>
          <w:rFonts w:eastAsia="Arial" w:cs="Arial"/>
          <w:b/>
          <w:sz w:val="22"/>
          <w:szCs w:val="22"/>
        </w:rPr>
        <w:fldChar w:fldCharType="begin"/>
      </w:r>
      <w:r>
        <w:rPr>
          <w:rFonts w:eastAsia="Arial" w:cs="Arial"/>
          <w:b/>
          <w:sz w:val="22"/>
          <w:szCs w:val="22"/>
        </w:rPr>
        <w:instrText>HYPERLINK  \l "_Case_study:_Enabling"</w:instrText>
      </w:r>
      <w:r>
        <w:rPr>
          <w:rFonts w:eastAsia="Arial" w:cs="Arial"/>
          <w:b/>
          <w:sz w:val="22"/>
          <w:szCs w:val="22"/>
        </w:rPr>
      </w:r>
      <w:r>
        <w:rPr>
          <w:rFonts w:eastAsia="Arial" w:cs="Arial"/>
          <w:b/>
          <w:sz w:val="22"/>
          <w:szCs w:val="22"/>
        </w:rPr>
        <w:fldChar w:fldCharType="separate"/>
      </w:r>
      <w:r w:rsidR="00031E79" w:rsidRPr="00420035">
        <w:rPr>
          <w:rStyle w:val="Hyperlink"/>
          <w:rFonts w:eastAsia="Arial" w:cs="Arial"/>
          <w:b/>
          <w:sz w:val="22"/>
          <w:szCs w:val="22"/>
        </w:rPr>
        <w:t>Enabling the next generation to own their sexual health</w:t>
      </w:r>
    </w:p>
    <w:p w14:paraId="25B78FE2" w14:textId="63081086" w:rsidR="00031E79" w:rsidRPr="00442D9E" w:rsidRDefault="00420035" w:rsidP="00D74561">
      <w:pPr>
        <w:spacing w:before="120"/>
        <w:rPr>
          <w:rFonts w:eastAsia="Times New Roman" w:cs="Arial"/>
          <w:color w:val="000000" w:themeColor="text1"/>
          <w:sz w:val="22"/>
          <w:szCs w:val="22"/>
        </w:rPr>
      </w:pPr>
      <w:r>
        <w:rPr>
          <w:rFonts w:eastAsia="Arial" w:cs="Arial"/>
          <w:b/>
          <w:sz w:val="22"/>
          <w:szCs w:val="22"/>
        </w:rPr>
        <w:fldChar w:fldCharType="end"/>
      </w:r>
      <w:r w:rsidR="00031E79" w:rsidRPr="00442D9E">
        <w:rPr>
          <w:rFonts w:eastAsia="Times New Roman" w:cs="Arial"/>
          <w:color w:val="000000" w:themeColor="text1"/>
          <w:sz w:val="22"/>
          <w:szCs w:val="22"/>
        </w:rPr>
        <w:t>Western Australia</w:t>
      </w:r>
    </w:p>
    <w:p w14:paraId="0E179BBC" w14:textId="77777777" w:rsidR="00031E79" w:rsidRPr="00442D9E" w:rsidRDefault="00031E79" w:rsidP="00D74561">
      <w:pPr>
        <w:spacing w:before="120"/>
        <w:rPr>
          <w:rFonts w:eastAsia="Times New Roman" w:cs="Arial"/>
          <w:color w:val="000000" w:themeColor="text1"/>
          <w:sz w:val="22"/>
          <w:szCs w:val="22"/>
        </w:rPr>
      </w:pPr>
      <w:r w:rsidRPr="00442D9E">
        <w:rPr>
          <w:rFonts w:eastAsia="Times New Roman" w:cs="Arial"/>
          <w:color w:val="000000" w:themeColor="text1"/>
          <w:sz w:val="22"/>
          <w:szCs w:val="22"/>
        </w:rPr>
        <w:t>Departments of Education and Health</w:t>
      </w:r>
    </w:p>
    <w:p w14:paraId="6629CBD6" w14:textId="5F272F56" w:rsidR="00235087" w:rsidRPr="006E3562" w:rsidRDefault="006E3562" w:rsidP="00D74561">
      <w:pPr>
        <w:spacing w:before="120"/>
        <w:rPr>
          <w:rStyle w:val="Hyperlink"/>
          <w:rFonts w:eastAsia="Times New Roman" w:cs="Arial"/>
          <w:sz w:val="22"/>
          <w:szCs w:val="22"/>
        </w:rPr>
      </w:pPr>
      <w:r>
        <w:rPr>
          <w:rFonts w:eastAsia="Times New Roman" w:cs="Arial"/>
          <w:b/>
          <w:bCs/>
          <w:color w:val="000000" w:themeColor="text1"/>
          <w:sz w:val="22"/>
          <w:szCs w:val="22"/>
        </w:rPr>
        <w:fldChar w:fldCharType="begin"/>
      </w:r>
      <w:r w:rsidR="00420035">
        <w:rPr>
          <w:rFonts w:eastAsia="Times New Roman" w:cs="Arial"/>
          <w:b/>
          <w:bCs/>
          <w:color w:val="000000" w:themeColor="text1"/>
          <w:sz w:val="22"/>
          <w:szCs w:val="22"/>
        </w:rPr>
        <w:instrText>HYPERLINK  \l "_Case_study:_Putting"</w:instrText>
      </w:r>
      <w:r>
        <w:rPr>
          <w:rFonts w:eastAsia="Times New Roman" w:cs="Arial"/>
          <w:b/>
          <w:bCs/>
          <w:color w:val="000000" w:themeColor="text1"/>
          <w:sz w:val="22"/>
          <w:szCs w:val="22"/>
        </w:rPr>
      </w:r>
      <w:r>
        <w:rPr>
          <w:rFonts w:eastAsia="Times New Roman" w:cs="Arial"/>
          <w:b/>
          <w:bCs/>
          <w:color w:val="000000" w:themeColor="text1"/>
          <w:sz w:val="22"/>
          <w:szCs w:val="22"/>
        </w:rPr>
        <w:fldChar w:fldCharType="separate"/>
      </w:r>
      <w:r w:rsidR="00235087" w:rsidRPr="006E3562">
        <w:rPr>
          <w:rStyle w:val="Hyperlink"/>
          <w:rFonts w:eastAsia="Times New Roman" w:cs="Arial"/>
          <w:b/>
          <w:bCs/>
          <w:sz w:val="22"/>
          <w:szCs w:val="22"/>
        </w:rPr>
        <w:t>Putting people first: Ensuring client-focus</w:t>
      </w:r>
      <w:bookmarkStart w:id="8" w:name="_Hlt148613871"/>
      <w:r w:rsidR="00235087" w:rsidRPr="006E3562">
        <w:rPr>
          <w:rStyle w:val="Hyperlink"/>
          <w:rFonts w:eastAsia="Times New Roman" w:cs="Arial"/>
          <w:b/>
          <w:bCs/>
          <w:sz w:val="22"/>
          <w:szCs w:val="22"/>
        </w:rPr>
        <w:t>e</w:t>
      </w:r>
      <w:bookmarkEnd w:id="8"/>
      <w:r w:rsidR="00235087" w:rsidRPr="006E3562">
        <w:rPr>
          <w:rStyle w:val="Hyperlink"/>
          <w:rFonts w:eastAsia="Times New Roman" w:cs="Arial"/>
          <w:b/>
          <w:bCs/>
          <w:sz w:val="22"/>
          <w:szCs w:val="22"/>
        </w:rPr>
        <w:t>d service delivery</w:t>
      </w:r>
    </w:p>
    <w:p w14:paraId="6C7DCADF" w14:textId="16A149CD" w:rsidR="00235087" w:rsidRPr="00442D9E" w:rsidRDefault="006E3562" w:rsidP="00D74561">
      <w:pPr>
        <w:spacing w:before="120"/>
        <w:rPr>
          <w:rFonts w:eastAsia="Times New Roman" w:cs="Arial"/>
          <w:color w:val="000000" w:themeColor="text1"/>
          <w:sz w:val="22"/>
          <w:szCs w:val="22"/>
        </w:rPr>
      </w:pPr>
      <w:r>
        <w:rPr>
          <w:rFonts w:eastAsia="Times New Roman" w:cs="Arial"/>
          <w:b/>
          <w:bCs/>
          <w:color w:val="000000" w:themeColor="text1"/>
          <w:sz w:val="22"/>
          <w:szCs w:val="22"/>
        </w:rPr>
        <w:fldChar w:fldCharType="end"/>
      </w:r>
      <w:r w:rsidR="00235087" w:rsidRPr="00442D9E">
        <w:rPr>
          <w:rFonts w:eastAsia="Times New Roman" w:cs="Arial"/>
          <w:color w:val="000000" w:themeColor="text1"/>
          <w:sz w:val="22"/>
          <w:szCs w:val="22"/>
        </w:rPr>
        <w:t>New South Wales</w:t>
      </w:r>
    </w:p>
    <w:p w14:paraId="30DCD010" w14:textId="77777777" w:rsidR="00235087" w:rsidRPr="00442D9E" w:rsidRDefault="00235087" w:rsidP="00D74561">
      <w:pPr>
        <w:spacing w:before="120"/>
        <w:rPr>
          <w:rFonts w:eastAsia="Times New Roman" w:cs="Arial"/>
          <w:color w:val="000000" w:themeColor="text1"/>
          <w:sz w:val="22"/>
          <w:szCs w:val="22"/>
        </w:rPr>
      </w:pPr>
      <w:r w:rsidRPr="00442D9E">
        <w:rPr>
          <w:rFonts w:eastAsia="Times New Roman" w:cs="Arial"/>
          <w:color w:val="000000" w:themeColor="text1"/>
          <w:sz w:val="22"/>
          <w:szCs w:val="22"/>
        </w:rPr>
        <w:t>Sydney Sexual Health Centre</w:t>
      </w:r>
    </w:p>
    <w:p w14:paraId="695B98EB" w14:textId="13ACE5A2" w:rsidR="00031E79" w:rsidRPr="00420035" w:rsidRDefault="00420035" w:rsidP="00D74561">
      <w:pPr>
        <w:shd w:val="clear" w:color="auto" w:fill="FFFFFF"/>
        <w:spacing w:before="120"/>
        <w:rPr>
          <w:rStyle w:val="Hyperlink"/>
          <w:rFonts w:eastAsia="Arial" w:cs="Arial"/>
          <w:b/>
          <w:sz w:val="22"/>
          <w:szCs w:val="22"/>
        </w:rPr>
      </w:pPr>
      <w:r>
        <w:rPr>
          <w:rFonts w:eastAsia="Times New Roman" w:cs="Arial"/>
          <w:b/>
          <w:bCs/>
          <w:sz w:val="22"/>
          <w:szCs w:val="22"/>
        </w:rPr>
        <w:fldChar w:fldCharType="begin"/>
      </w:r>
      <w:r>
        <w:rPr>
          <w:rFonts w:eastAsia="Times New Roman" w:cs="Arial"/>
          <w:b/>
          <w:bCs/>
          <w:sz w:val="22"/>
          <w:szCs w:val="22"/>
        </w:rPr>
        <w:instrText>HYPERLINK  \l "_Case_study:_Promoting"</w:instrText>
      </w:r>
      <w:r>
        <w:rPr>
          <w:rFonts w:eastAsia="Times New Roman" w:cs="Arial"/>
          <w:b/>
          <w:bCs/>
          <w:sz w:val="22"/>
          <w:szCs w:val="22"/>
        </w:rPr>
      </w:r>
      <w:r>
        <w:rPr>
          <w:rFonts w:eastAsia="Times New Roman" w:cs="Arial"/>
          <w:b/>
          <w:bCs/>
          <w:sz w:val="22"/>
          <w:szCs w:val="22"/>
        </w:rPr>
        <w:fldChar w:fldCharType="separate"/>
      </w:r>
      <w:r w:rsidR="00031E79" w:rsidRPr="00420035">
        <w:rPr>
          <w:rStyle w:val="Hyperlink"/>
          <w:rFonts w:eastAsia="Times New Roman" w:cs="Arial"/>
          <w:b/>
          <w:bCs/>
          <w:sz w:val="22"/>
          <w:szCs w:val="22"/>
        </w:rPr>
        <w:t xml:space="preserve">Promoting STI awareness in communities: </w:t>
      </w:r>
      <w:r w:rsidR="00031E79" w:rsidRPr="00420035">
        <w:rPr>
          <w:rStyle w:val="Hyperlink"/>
          <w:rFonts w:eastAsia="Arial" w:cs="Arial"/>
          <w:b/>
          <w:sz w:val="22"/>
          <w:szCs w:val="22"/>
        </w:rPr>
        <w:t>Using humour and gamification to improve sexual health</w:t>
      </w:r>
    </w:p>
    <w:p w14:paraId="7A0663E2" w14:textId="49D5AE0E" w:rsidR="00031E79" w:rsidRPr="00442D9E" w:rsidRDefault="00420035" w:rsidP="00D74561">
      <w:pPr>
        <w:spacing w:before="120"/>
        <w:rPr>
          <w:rFonts w:eastAsia="Times New Roman" w:cs="Arial"/>
          <w:color w:val="000000" w:themeColor="text1"/>
          <w:sz w:val="22"/>
          <w:szCs w:val="22"/>
        </w:rPr>
      </w:pPr>
      <w:r>
        <w:rPr>
          <w:rFonts w:eastAsia="Times New Roman" w:cs="Arial"/>
          <w:b/>
          <w:bCs/>
          <w:sz w:val="22"/>
          <w:szCs w:val="22"/>
        </w:rPr>
        <w:fldChar w:fldCharType="end"/>
      </w:r>
      <w:r w:rsidR="00031E79" w:rsidRPr="00442D9E">
        <w:rPr>
          <w:rFonts w:eastAsia="Times New Roman" w:cs="Arial"/>
          <w:color w:val="000000" w:themeColor="text1"/>
          <w:sz w:val="22"/>
          <w:szCs w:val="22"/>
        </w:rPr>
        <w:t>New South Wales</w:t>
      </w:r>
    </w:p>
    <w:p w14:paraId="6232C03F" w14:textId="6FCDC9C1" w:rsidR="00031E79" w:rsidRPr="00442D9E" w:rsidRDefault="00031E79" w:rsidP="00D74561">
      <w:pPr>
        <w:spacing w:before="120"/>
        <w:rPr>
          <w:rFonts w:eastAsia="Times New Roman" w:cs="Arial"/>
          <w:color w:val="000000" w:themeColor="text1"/>
          <w:sz w:val="22"/>
          <w:szCs w:val="22"/>
        </w:rPr>
      </w:pPr>
      <w:r w:rsidRPr="00442D9E">
        <w:rPr>
          <w:rFonts w:eastAsia="Times New Roman" w:cs="Arial"/>
          <w:color w:val="000000" w:themeColor="text1"/>
          <w:sz w:val="22"/>
          <w:szCs w:val="22"/>
        </w:rPr>
        <w:t>New South Wales Sexually Transmissible Infections Programs Unit</w:t>
      </w:r>
    </w:p>
    <w:p w14:paraId="33C7F51A" w14:textId="42CB1878" w:rsidR="00031E79" w:rsidRPr="00420035" w:rsidRDefault="00420035" w:rsidP="00D74561">
      <w:pPr>
        <w:spacing w:before="120"/>
        <w:rPr>
          <w:rStyle w:val="Hyperlink"/>
          <w:rFonts w:eastAsia="Arial" w:cs="Arial"/>
          <w:b/>
          <w:sz w:val="22"/>
          <w:szCs w:val="22"/>
        </w:rPr>
      </w:pPr>
      <w:r>
        <w:rPr>
          <w:rFonts w:eastAsia="Times New Roman" w:cs="Arial"/>
          <w:b/>
          <w:bCs/>
          <w:sz w:val="22"/>
          <w:szCs w:val="22"/>
        </w:rPr>
        <w:fldChar w:fldCharType="begin"/>
      </w:r>
      <w:r>
        <w:rPr>
          <w:rFonts w:eastAsia="Times New Roman" w:cs="Arial"/>
          <w:b/>
          <w:bCs/>
          <w:sz w:val="22"/>
          <w:szCs w:val="22"/>
        </w:rPr>
        <w:instrText>HYPERLINK  \l "_Case_study:_Benefiting"</w:instrText>
      </w:r>
      <w:r>
        <w:rPr>
          <w:rFonts w:eastAsia="Times New Roman" w:cs="Arial"/>
          <w:b/>
          <w:bCs/>
          <w:sz w:val="22"/>
          <w:szCs w:val="22"/>
        </w:rPr>
      </w:r>
      <w:r>
        <w:rPr>
          <w:rFonts w:eastAsia="Times New Roman" w:cs="Arial"/>
          <w:b/>
          <w:bCs/>
          <w:sz w:val="22"/>
          <w:szCs w:val="22"/>
        </w:rPr>
        <w:fldChar w:fldCharType="separate"/>
      </w:r>
      <w:r w:rsidR="00031E79" w:rsidRPr="00420035">
        <w:rPr>
          <w:rStyle w:val="Hyperlink"/>
          <w:rFonts w:eastAsia="Times New Roman" w:cs="Arial"/>
          <w:b/>
          <w:bCs/>
          <w:sz w:val="22"/>
          <w:szCs w:val="22"/>
        </w:rPr>
        <w:t xml:space="preserve">Benefiting from new technologies: </w:t>
      </w:r>
      <w:r w:rsidR="00031E79" w:rsidRPr="00420035">
        <w:rPr>
          <w:rStyle w:val="Hyperlink"/>
          <w:rFonts w:eastAsia="Arial" w:cs="Arial"/>
          <w:b/>
          <w:sz w:val="22"/>
          <w:szCs w:val="22"/>
        </w:rPr>
        <w:t>Employing mo</w:t>
      </w:r>
      <w:bookmarkStart w:id="9" w:name="_Hlt148614118"/>
      <w:r w:rsidR="00031E79" w:rsidRPr="00420035">
        <w:rPr>
          <w:rStyle w:val="Hyperlink"/>
          <w:rFonts w:eastAsia="Arial" w:cs="Arial"/>
          <w:b/>
          <w:sz w:val="22"/>
          <w:szCs w:val="22"/>
        </w:rPr>
        <w:t>l</w:t>
      </w:r>
      <w:bookmarkEnd w:id="9"/>
      <w:r w:rsidR="00031E79" w:rsidRPr="00420035">
        <w:rPr>
          <w:rStyle w:val="Hyperlink"/>
          <w:rFonts w:eastAsia="Arial" w:cs="Arial"/>
          <w:b/>
          <w:sz w:val="22"/>
          <w:szCs w:val="22"/>
        </w:rPr>
        <w:t>ecular point-of-care tests to reach Australia’s most remote communities</w:t>
      </w:r>
    </w:p>
    <w:p w14:paraId="1912AF47" w14:textId="74E66917" w:rsidR="00031E79" w:rsidRPr="00442D9E" w:rsidRDefault="00420035" w:rsidP="00D74561">
      <w:pPr>
        <w:spacing w:before="120"/>
        <w:rPr>
          <w:rFonts w:eastAsia="Times New Roman" w:cs="Arial"/>
          <w:color w:val="000000" w:themeColor="text1"/>
          <w:sz w:val="22"/>
          <w:szCs w:val="22"/>
        </w:rPr>
      </w:pPr>
      <w:r>
        <w:rPr>
          <w:rFonts w:eastAsia="Times New Roman" w:cs="Arial"/>
          <w:b/>
          <w:bCs/>
          <w:sz w:val="22"/>
          <w:szCs w:val="22"/>
        </w:rPr>
        <w:fldChar w:fldCharType="end"/>
      </w:r>
      <w:r w:rsidR="00031E79" w:rsidRPr="00442D9E">
        <w:rPr>
          <w:rFonts w:eastAsia="Times New Roman" w:cs="Arial"/>
          <w:color w:val="000000" w:themeColor="text1"/>
          <w:sz w:val="22"/>
          <w:szCs w:val="22"/>
        </w:rPr>
        <w:t>Western Australia, Queensland and South Australia</w:t>
      </w:r>
    </w:p>
    <w:p w14:paraId="73990E9E" w14:textId="05A832EE" w:rsidR="00FE0B3A" w:rsidRPr="00442D9E" w:rsidRDefault="007A4DF8" w:rsidP="00D74561">
      <w:pPr>
        <w:spacing w:before="120"/>
        <w:rPr>
          <w:rFonts w:eastAsia="Times New Roman" w:cs="Arial"/>
          <w:color w:val="000000" w:themeColor="text1"/>
          <w:sz w:val="22"/>
          <w:szCs w:val="22"/>
        </w:rPr>
      </w:pPr>
      <w:r w:rsidRPr="00442D9E">
        <w:rPr>
          <w:rFonts w:eastAsia="Times New Roman" w:cs="Arial"/>
          <w:color w:val="000000" w:themeColor="text1"/>
          <w:sz w:val="22"/>
          <w:szCs w:val="22"/>
        </w:rPr>
        <w:t>Collaboration between academic research institutions, Aboriginal and government health organisations, pathology providers, health services, communities</w:t>
      </w:r>
      <w:r w:rsidR="002C3EEB">
        <w:rPr>
          <w:rFonts w:eastAsia="Times New Roman" w:cs="Arial"/>
          <w:color w:val="000000" w:themeColor="text1"/>
          <w:sz w:val="22"/>
          <w:szCs w:val="22"/>
        </w:rPr>
        <w:t>,</w:t>
      </w:r>
      <w:r w:rsidRPr="00442D9E">
        <w:rPr>
          <w:rFonts w:eastAsia="Times New Roman" w:cs="Arial"/>
          <w:color w:val="000000" w:themeColor="text1"/>
          <w:sz w:val="22"/>
          <w:szCs w:val="22"/>
        </w:rPr>
        <w:t xml:space="preserve"> and industry</w:t>
      </w:r>
    </w:p>
    <w:p w14:paraId="3E99D68E" w14:textId="16149A02" w:rsidR="00031E79" w:rsidRPr="00420035" w:rsidRDefault="00420035" w:rsidP="00D74561">
      <w:pPr>
        <w:spacing w:before="120"/>
        <w:rPr>
          <w:rStyle w:val="Hyperlink"/>
          <w:rFonts w:eastAsia="Times New Roman" w:cs="Arial"/>
          <w:b/>
          <w:bCs/>
          <w:sz w:val="22"/>
          <w:szCs w:val="22"/>
        </w:rPr>
      </w:pPr>
      <w:r>
        <w:rPr>
          <w:rFonts w:eastAsia="Times New Roman" w:cs="Arial"/>
          <w:b/>
          <w:bCs/>
          <w:sz w:val="22"/>
          <w:szCs w:val="22"/>
        </w:rPr>
        <w:fldChar w:fldCharType="begin"/>
      </w:r>
      <w:r>
        <w:rPr>
          <w:rFonts w:eastAsia="Times New Roman" w:cs="Arial"/>
          <w:b/>
          <w:bCs/>
          <w:sz w:val="22"/>
          <w:szCs w:val="22"/>
        </w:rPr>
        <w:instrText>HYPERLINK  \l "_Case_study:_Providing"</w:instrText>
      </w:r>
      <w:r>
        <w:rPr>
          <w:rFonts w:eastAsia="Times New Roman" w:cs="Arial"/>
          <w:b/>
          <w:bCs/>
          <w:sz w:val="22"/>
          <w:szCs w:val="22"/>
        </w:rPr>
      </w:r>
      <w:r>
        <w:rPr>
          <w:rFonts w:eastAsia="Times New Roman" w:cs="Arial"/>
          <w:b/>
          <w:bCs/>
          <w:sz w:val="22"/>
          <w:szCs w:val="22"/>
        </w:rPr>
        <w:fldChar w:fldCharType="separate"/>
      </w:r>
      <w:r w:rsidR="00031E79" w:rsidRPr="00420035">
        <w:rPr>
          <w:rStyle w:val="Hyperlink"/>
          <w:rFonts w:eastAsia="Times New Roman" w:cs="Arial"/>
          <w:b/>
          <w:bCs/>
          <w:sz w:val="22"/>
          <w:szCs w:val="22"/>
        </w:rPr>
        <w:t xml:space="preserve">Providing </w:t>
      </w:r>
      <w:r w:rsidR="00CD7326" w:rsidRPr="00420035">
        <w:rPr>
          <w:rStyle w:val="Hyperlink"/>
          <w:rFonts w:eastAsia="Times New Roman" w:cs="Arial"/>
          <w:b/>
          <w:bCs/>
          <w:sz w:val="22"/>
          <w:szCs w:val="22"/>
        </w:rPr>
        <w:t>a safe spa</w:t>
      </w:r>
      <w:bookmarkStart w:id="10" w:name="_Hlt148614124"/>
      <w:r w:rsidR="00CD7326" w:rsidRPr="00420035">
        <w:rPr>
          <w:rStyle w:val="Hyperlink"/>
          <w:rFonts w:eastAsia="Times New Roman" w:cs="Arial"/>
          <w:b/>
          <w:bCs/>
          <w:sz w:val="22"/>
          <w:szCs w:val="22"/>
        </w:rPr>
        <w:t>c</w:t>
      </w:r>
      <w:bookmarkEnd w:id="10"/>
      <w:r w:rsidR="00CD7326" w:rsidRPr="00420035">
        <w:rPr>
          <w:rStyle w:val="Hyperlink"/>
          <w:rFonts w:eastAsia="Times New Roman" w:cs="Arial"/>
          <w:b/>
          <w:bCs/>
          <w:sz w:val="22"/>
          <w:szCs w:val="22"/>
        </w:rPr>
        <w:t xml:space="preserve">e: Leading a trans-affirming </w:t>
      </w:r>
      <w:r w:rsidR="00F37DB0" w:rsidRPr="00420035">
        <w:rPr>
          <w:rStyle w:val="Hyperlink"/>
          <w:rFonts w:eastAsia="Times New Roman" w:cs="Arial"/>
          <w:b/>
          <w:bCs/>
          <w:sz w:val="22"/>
          <w:szCs w:val="22"/>
        </w:rPr>
        <w:t xml:space="preserve">sexual health service </w:t>
      </w:r>
    </w:p>
    <w:p w14:paraId="2EC8E01A" w14:textId="400ED8B9" w:rsidR="00031E79" w:rsidRPr="00442D9E" w:rsidRDefault="00420035" w:rsidP="00D74561">
      <w:pPr>
        <w:spacing w:before="120"/>
        <w:rPr>
          <w:rFonts w:eastAsia="Times New Roman" w:cs="Arial"/>
          <w:color w:val="000000" w:themeColor="text1"/>
          <w:sz w:val="22"/>
          <w:szCs w:val="22"/>
        </w:rPr>
      </w:pPr>
      <w:r>
        <w:rPr>
          <w:rFonts w:eastAsia="Times New Roman" w:cs="Arial"/>
          <w:b/>
          <w:bCs/>
          <w:sz w:val="22"/>
          <w:szCs w:val="22"/>
        </w:rPr>
        <w:fldChar w:fldCharType="end"/>
      </w:r>
      <w:r w:rsidR="00031E79" w:rsidRPr="00442D9E">
        <w:rPr>
          <w:rFonts w:eastAsia="Times New Roman" w:cs="Arial"/>
          <w:color w:val="000000" w:themeColor="text1"/>
          <w:sz w:val="22"/>
          <w:szCs w:val="22"/>
        </w:rPr>
        <w:t>New South Wales</w:t>
      </w:r>
    </w:p>
    <w:p w14:paraId="43C0E072" w14:textId="75523E82" w:rsidR="00031E79" w:rsidRPr="00533F8D" w:rsidRDefault="00031E79" w:rsidP="00D74561">
      <w:pPr>
        <w:spacing w:before="120"/>
        <w:rPr>
          <w:rFonts w:eastAsia="Times New Roman" w:cs="Arial"/>
          <w:color w:val="000000" w:themeColor="text1"/>
          <w:sz w:val="22"/>
          <w:szCs w:val="22"/>
        </w:rPr>
      </w:pPr>
      <w:r w:rsidRPr="00442D9E">
        <w:rPr>
          <w:rFonts w:eastAsia="Times New Roman" w:cs="Arial"/>
          <w:color w:val="000000" w:themeColor="text1"/>
          <w:sz w:val="22"/>
          <w:szCs w:val="22"/>
        </w:rPr>
        <w:t>T150, Albion Centre, Sydney</w:t>
      </w:r>
    </w:p>
    <w:p w14:paraId="56123E84" w14:textId="77777777" w:rsidR="00031E79" w:rsidRPr="00442D9E" w:rsidRDefault="00031E79">
      <w:pPr>
        <w:rPr>
          <w:rFonts w:cs="Arial"/>
          <w:b/>
          <w:bCs/>
          <w:color w:val="000000" w:themeColor="text1"/>
          <w:sz w:val="30"/>
          <w:szCs w:val="30"/>
          <w:highlight w:val="white"/>
        </w:rPr>
      </w:pPr>
      <w:r w:rsidRPr="00442D9E">
        <w:rPr>
          <w:rFonts w:cs="Arial"/>
          <w:b/>
          <w:bCs/>
          <w:color w:val="000000" w:themeColor="text1"/>
          <w:sz w:val="30"/>
          <w:szCs w:val="30"/>
          <w:highlight w:val="white"/>
        </w:rPr>
        <w:br w:type="page"/>
      </w:r>
    </w:p>
    <w:p w14:paraId="49A0CD39" w14:textId="67EC8670" w:rsidR="00031E79" w:rsidRPr="00116DCF" w:rsidRDefault="00031E79" w:rsidP="00397CF0">
      <w:pPr>
        <w:jc w:val="both"/>
        <w:rPr>
          <w:rFonts w:cs="Arial"/>
          <w:b/>
          <w:bCs/>
          <w:color w:val="000000" w:themeColor="text1"/>
          <w:sz w:val="22"/>
          <w:szCs w:val="22"/>
          <w:highlight w:val="white"/>
        </w:rPr>
      </w:pPr>
      <w:r w:rsidRPr="00442D9E">
        <w:rPr>
          <w:rFonts w:cs="Arial"/>
          <w:b/>
          <w:bCs/>
          <w:color w:val="000000" w:themeColor="text1"/>
          <w:sz w:val="30"/>
          <w:szCs w:val="30"/>
          <w:highlight w:val="white"/>
        </w:rPr>
        <w:lastRenderedPageBreak/>
        <w:t>VISION STATEMENT</w:t>
      </w:r>
    </w:p>
    <w:p w14:paraId="6A78E2D4" w14:textId="2C31D050" w:rsidR="00F41FEC" w:rsidRPr="00442D9E" w:rsidRDefault="00031E79" w:rsidP="00D74561">
      <w:pPr>
        <w:pStyle w:val="BodyText"/>
        <w:spacing w:before="240" w:after="0"/>
        <w:jc w:val="both"/>
        <w:rPr>
          <w:rFonts w:cs="Arial"/>
          <w:color w:val="000000" w:themeColor="text1"/>
          <w:sz w:val="22"/>
          <w:szCs w:val="22"/>
          <w:u w:color="000000"/>
          <w:shd w:val="clear" w:color="auto" w:fill="FFFFFF"/>
          <w:lang w:val="en-US"/>
        </w:rPr>
      </w:pPr>
      <w:r w:rsidRPr="00442D9E">
        <w:rPr>
          <w:rFonts w:cs="Arial"/>
          <w:color w:val="000000" w:themeColor="text1"/>
          <w:sz w:val="22"/>
          <w:szCs w:val="22"/>
          <w:u w:color="000000"/>
          <w:shd w:val="clear" w:color="auto" w:fill="FFFFFF"/>
          <w:lang w:val="en-US"/>
        </w:rPr>
        <w:t>Knowledge and awareness of</w:t>
      </w:r>
      <w:r w:rsidR="00116DCF">
        <w:rPr>
          <w:rFonts w:cs="Arial"/>
          <w:color w:val="000000" w:themeColor="text1"/>
          <w:sz w:val="22"/>
          <w:szCs w:val="22"/>
          <w:u w:color="000000"/>
          <w:shd w:val="clear" w:color="auto" w:fill="FFFFFF"/>
          <w:lang w:val="en-US"/>
        </w:rPr>
        <w:t xml:space="preserve"> Sexually </w:t>
      </w:r>
      <w:r w:rsidR="00CB0C9D">
        <w:rPr>
          <w:rFonts w:cs="Arial"/>
          <w:color w:val="000000" w:themeColor="text1"/>
          <w:sz w:val="22"/>
          <w:szCs w:val="22"/>
          <w:u w:color="000000"/>
          <w:shd w:val="clear" w:color="auto" w:fill="FFFFFF"/>
          <w:lang w:val="en-US"/>
        </w:rPr>
        <w:t>Transmissible</w:t>
      </w:r>
      <w:r w:rsidR="00116DCF">
        <w:rPr>
          <w:rFonts w:cs="Arial"/>
          <w:color w:val="000000" w:themeColor="text1"/>
          <w:sz w:val="22"/>
          <w:szCs w:val="22"/>
          <w:u w:color="000000"/>
          <w:shd w:val="clear" w:color="auto" w:fill="FFFFFF"/>
          <w:lang w:val="en-US"/>
        </w:rPr>
        <w:t xml:space="preserve"> Infections</w:t>
      </w:r>
      <w:r w:rsidRPr="00442D9E">
        <w:rPr>
          <w:rFonts w:cs="Arial"/>
          <w:color w:val="000000" w:themeColor="text1"/>
          <w:sz w:val="22"/>
          <w:szCs w:val="22"/>
          <w:u w:color="000000"/>
          <w:shd w:val="clear" w:color="auto" w:fill="FFFFFF"/>
          <w:lang w:val="en-US"/>
        </w:rPr>
        <w:t xml:space="preserve"> </w:t>
      </w:r>
      <w:r w:rsidR="00116DCF">
        <w:rPr>
          <w:rFonts w:cs="Arial"/>
          <w:color w:val="000000" w:themeColor="text1"/>
          <w:sz w:val="22"/>
          <w:szCs w:val="22"/>
          <w:u w:color="000000"/>
          <w:shd w:val="clear" w:color="auto" w:fill="FFFFFF"/>
          <w:lang w:val="en-US"/>
        </w:rPr>
        <w:t>(</w:t>
      </w:r>
      <w:r w:rsidRPr="00442D9E">
        <w:rPr>
          <w:rFonts w:cs="Arial"/>
          <w:color w:val="000000" w:themeColor="text1"/>
          <w:sz w:val="22"/>
          <w:szCs w:val="22"/>
          <w:u w:color="000000"/>
          <w:shd w:val="clear" w:color="auto" w:fill="FFFFFF"/>
          <w:lang w:val="en-US"/>
        </w:rPr>
        <w:t>STI</w:t>
      </w:r>
      <w:r w:rsidR="00116DCF">
        <w:rPr>
          <w:rFonts w:cs="Arial"/>
          <w:color w:val="000000" w:themeColor="text1"/>
          <w:sz w:val="22"/>
          <w:szCs w:val="22"/>
          <w:u w:color="000000"/>
          <w:shd w:val="clear" w:color="auto" w:fill="FFFFFF"/>
          <w:lang w:val="en-US"/>
        </w:rPr>
        <w:t>)</w:t>
      </w:r>
      <w:r w:rsidRPr="00442D9E">
        <w:rPr>
          <w:rFonts w:cs="Arial"/>
          <w:color w:val="000000" w:themeColor="text1"/>
          <w:sz w:val="22"/>
          <w:szCs w:val="22"/>
          <w:u w:color="000000"/>
          <w:shd w:val="clear" w:color="auto" w:fill="FFFFFF"/>
          <w:lang w:val="en-US"/>
        </w:rPr>
        <w:t xml:space="preserve"> improved for all people, who will have been empowered as active decision makers in their sexual health and well-being, supported by healthcare that is inclusive, free from stigma and discrimination, and enabled by person-</w:t>
      </w:r>
      <w:r w:rsidR="001003BD" w:rsidRPr="00442D9E">
        <w:rPr>
          <w:rFonts w:cs="Arial"/>
          <w:color w:val="000000" w:themeColor="text1"/>
          <w:sz w:val="22"/>
          <w:szCs w:val="22"/>
          <w:u w:color="000000"/>
          <w:shd w:val="clear" w:color="auto" w:fill="FFFFFF"/>
          <w:lang w:val="en-US"/>
        </w:rPr>
        <w:t>centered</w:t>
      </w:r>
      <w:r w:rsidRPr="00442D9E">
        <w:rPr>
          <w:rFonts w:cs="Arial"/>
          <w:color w:val="000000" w:themeColor="text1"/>
          <w:sz w:val="22"/>
          <w:szCs w:val="22"/>
          <w:u w:color="000000"/>
          <w:shd w:val="clear" w:color="auto" w:fill="FFFFFF"/>
          <w:lang w:val="en-US"/>
        </w:rPr>
        <w:t xml:space="preserve"> and human rights-affirming healthcare systems.</w:t>
      </w:r>
    </w:p>
    <w:p w14:paraId="1074F168" w14:textId="555B5752" w:rsidR="00F41FEC" w:rsidRPr="00D74561" w:rsidRDefault="00031E79" w:rsidP="00D74561">
      <w:pPr>
        <w:pStyle w:val="BodyText"/>
        <w:spacing w:before="240" w:after="0"/>
        <w:jc w:val="both"/>
        <w:rPr>
          <w:rFonts w:cs="Arial"/>
          <w:color w:val="000000" w:themeColor="text1"/>
          <w:sz w:val="22"/>
          <w:szCs w:val="22"/>
          <w:shd w:val="clear" w:color="auto" w:fill="FFFFFF"/>
          <w:lang w:val="en-US"/>
        </w:rPr>
      </w:pPr>
      <w:r w:rsidRPr="00442D9E">
        <w:rPr>
          <w:rFonts w:cs="Arial"/>
          <w:color w:val="000000" w:themeColor="text1"/>
          <w:sz w:val="22"/>
          <w:szCs w:val="22"/>
          <w:shd w:val="clear" w:color="auto" w:fill="FFFFFF"/>
          <w:lang w:val="en-US"/>
        </w:rPr>
        <w:t>People will have timely access to safe and affordable prevention (including vaccines), testing, treatment</w:t>
      </w:r>
      <w:r w:rsidR="0001767F">
        <w:rPr>
          <w:rFonts w:cs="Arial"/>
          <w:color w:val="000000" w:themeColor="text1"/>
          <w:sz w:val="22"/>
          <w:szCs w:val="22"/>
          <w:shd w:val="clear" w:color="auto" w:fill="FFFFFF"/>
          <w:lang w:val="en-US"/>
        </w:rPr>
        <w:t>,</w:t>
      </w:r>
      <w:r w:rsidRPr="00442D9E">
        <w:rPr>
          <w:rFonts w:cs="Arial"/>
          <w:color w:val="000000" w:themeColor="text1"/>
          <w:sz w:val="22"/>
          <w:szCs w:val="22"/>
          <w:shd w:val="clear" w:color="auto" w:fill="FFFFFF"/>
          <w:lang w:val="en-US"/>
        </w:rPr>
        <w:t xml:space="preserve"> and care for STI, when and where they need it. Legislative and policy barriers to sexual health-seeking </w:t>
      </w:r>
      <w:r w:rsidR="001003BD" w:rsidRPr="00442D9E">
        <w:rPr>
          <w:rFonts w:cs="Arial"/>
          <w:color w:val="000000" w:themeColor="text1"/>
          <w:sz w:val="22"/>
          <w:szCs w:val="22"/>
          <w:shd w:val="clear" w:color="auto" w:fill="FFFFFF"/>
          <w:lang w:val="en-US"/>
        </w:rPr>
        <w:t>behaviors</w:t>
      </w:r>
      <w:r w:rsidRPr="00442D9E">
        <w:rPr>
          <w:rFonts w:cs="Arial"/>
          <w:color w:val="000000" w:themeColor="text1"/>
          <w:sz w:val="22"/>
          <w:szCs w:val="22"/>
          <w:shd w:val="clear" w:color="auto" w:fill="FFFFFF"/>
          <w:lang w:val="en-US"/>
        </w:rPr>
        <w:t xml:space="preserve"> will have been addressed. Sexual health and the importance of attending to STI will have been </w:t>
      </w:r>
      <w:r w:rsidRPr="001003BD">
        <w:rPr>
          <w:rFonts w:cs="Arial"/>
          <w:color w:val="000000" w:themeColor="text1"/>
          <w:sz w:val="22"/>
          <w:szCs w:val="22"/>
          <w:shd w:val="clear" w:color="auto" w:fill="FFFFFF"/>
        </w:rPr>
        <w:t>normalised</w:t>
      </w:r>
      <w:r w:rsidRPr="00442D9E">
        <w:rPr>
          <w:rFonts w:cs="Arial"/>
          <w:color w:val="000000" w:themeColor="text1"/>
          <w:sz w:val="22"/>
          <w:szCs w:val="22"/>
          <w:shd w:val="clear" w:color="auto" w:fill="FFFFFF"/>
          <w:lang w:val="en-US"/>
        </w:rPr>
        <w:t>. Congenital syphilis will have been eliminated.</w:t>
      </w:r>
    </w:p>
    <w:p w14:paraId="0009400D" w14:textId="79E806D7" w:rsidR="00031E79" w:rsidRPr="00442D9E" w:rsidRDefault="00031E79" w:rsidP="00D74561">
      <w:pPr>
        <w:pStyle w:val="BodyText"/>
        <w:spacing w:before="240"/>
        <w:jc w:val="both"/>
        <w:rPr>
          <w:rFonts w:cs="Arial"/>
          <w:color w:val="000000" w:themeColor="text1"/>
          <w:sz w:val="22"/>
          <w:szCs w:val="22"/>
          <w:highlight w:val="white"/>
        </w:rPr>
      </w:pPr>
      <w:r w:rsidRPr="00442D9E">
        <w:rPr>
          <w:rFonts w:cs="Arial"/>
          <w:color w:val="000000" w:themeColor="text1"/>
          <w:sz w:val="22"/>
          <w:szCs w:val="22"/>
          <w:u w:color="000000"/>
          <w:lang w:val="en-US"/>
        </w:rPr>
        <w:t xml:space="preserve">By 2030, Australia will achieve this vision </w:t>
      </w:r>
      <w:r w:rsidR="00ED4F5E">
        <w:rPr>
          <w:rFonts w:cs="Arial"/>
          <w:color w:val="000000" w:themeColor="text1"/>
          <w:sz w:val="22"/>
          <w:szCs w:val="22"/>
          <w:u w:color="000000"/>
          <w:lang w:val="en-US"/>
        </w:rPr>
        <w:t>for</w:t>
      </w:r>
      <w:r w:rsidRPr="00442D9E">
        <w:rPr>
          <w:rFonts w:cs="Arial"/>
          <w:color w:val="000000" w:themeColor="text1"/>
          <w:sz w:val="22"/>
          <w:szCs w:val="22"/>
          <w:u w:color="000000"/>
          <w:lang w:val="en-US"/>
        </w:rPr>
        <w:t xml:space="preserve"> STI by having a world-leading </w:t>
      </w:r>
      <w:r w:rsidRPr="00442D9E">
        <w:rPr>
          <w:rFonts w:cs="Arial"/>
          <w:color w:val="000000" w:themeColor="text1"/>
          <w:sz w:val="22"/>
          <w:szCs w:val="22"/>
          <w:u w:color="000000"/>
          <w:shd w:val="clear" w:color="auto" w:fill="FFFFFF"/>
          <w:lang w:val="en-US"/>
        </w:rPr>
        <w:t>public sexual health system and primary healthcare system that enables sexual health and well-being for all. The system will have been strengthened by quality and timely data, support for community-led interventions, and a well-resourced workforce, and will be prepared to respond to emerging concerns and new infections.</w:t>
      </w:r>
    </w:p>
    <w:p w14:paraId="7C57206B" w14:textId="06C9F009" w:rsidR="00031E79" w:rsidRPr="00116DCF" w:rsidRDefault="00031E79" w:rsidP="00397CF0">
      <w:pPr>
        <w:pStyle w:val="Heading1"/>
        <w:numPr>
          <w:ilvl w:val="0"/>
          <w:numId w:val="2"/>
        </w:numPr>
        <w:rPr>
          <w:highlight w:val="white"/>
        </w:rPr>
      </w:pPr>
      <w:bookmarkStart w:id="11" w:name="_Toc138151561"/>
      <w:bookmarkStart w:id="12" w:name="_Toc138173774"/>
      <w:bookmarkStart w:id="13" w:name="_Toc150160949"/>
      <w:bookmarkStart w:id="14" w:name="_Toc163737176"/>
      <w:r w:rsidRPr="00442D9E">
        <w:t>Introduction</w:t>
      </w:r>
      <w:bookmarkEnd w:id="11"/>
      <w:bookmarkEnd w:id="12"/>
      <w:bookmarkEnd w:id="13"/>
      <w:bookmarkEnd w:id="14"/>
    </w:p>
    <w:p w14:paraId="2AA8BC7E" w14:textId="33988BAB" w:rsidR="00031E79" w:rsidRDefault="00031E79" w:rsidP="00D74561">
      <w:pPr>
        <w:spacing w:after="240"/>
        <w:jc w:val="both"/>
        <w:rPr>
          <w:rFonts w:eastAsiaTheme="minorEastAsia" w:cs="Arial"/>
          <w:color w:val="000000" w:themeColor="text1"/>
          <w:sz w:val="22"/>
          <w:szCs w:val="22"/>
        </w:rPr>
      </w:pPr>
      <w:r w:rsidRPr="00442D9E">
        <w:rPr>
          <w:rFonts w:cs="Arial"/>
          <w:color w:val="000000" w:themeColor="text1"/>
          <w:sz w:val="22"/>
          <w:szCs w:val="22"/>
        </w:rPr>
        <w:t>STI are part of sexual and reproductive health, and sexual health is an important part of general health and well-being</w:t>
      </w:r>
      <w:r w:rsidR="008E5475">
        <w:rPr>
          <w:rFonts w:cs="Arial"/>
          <w:color w:val="000000" w:themeColor="text1"/>
          <w:sz w:val="22"/>
          <w:szCs w:val="22"/>
        </w:rPr>
        <w:t>.</w:t>
      </w:r>
      <w:r w:rsidR="008B43F1">
        <w:rPr>
          <w:rFonts w:ascii="ZWAdobeF" w:hAnsi="ZWAdobeF" w:cs="ZWAdobeF"/>
          <w:sz w:val="2"/>
          <w:szCs w:val="2"/>
        </w:rPr>
        <w:t>24F</w:t>
      </w:r>
      <w:r w:rsidRPr="00442D9E">
        <w:rPr>
          <w:rStyle w:val="EndnoteReference"/>
          <w:rFonts w:cs="Arial"/>
          <w:color w:val="000000" w:themeColor="text1"/>
          <w:sz w:val="22"/>
          <w:szCs w:val="22"/>
        </w:rPr>
        <w:endnoteReference w:id="24"/>
      </w:r>
      <w:r w:rsidRPr="00442D9E">
        <w:rPr>
          <w:rFonts w:cs="Arial"/>
          <w:color w:val="000000" w:themeColor="text1"/>
          <w:sz w:val="22"/>
          <w:szCs w:val="22"/>
        </w:rPr>
        <w:t> </w:t>
      </w:r>
      <w:r w:rsidRPr="00442D9E">
        <w:rPr>
          <w:rFonts w:cs="Arial"/>
          <w:color w:val="000000" w:themeColor="text1"/>
          <w:kern w:val="36"/>
          <w:sz w:val="22"/>
          <w:szCs w:val="22"/>
        </w:rPr>
        <w:t xml:space="preserve">In this strategy, the focus on STI is about the prevention of disease, enabled by a holistic approach to prevention, testing, treatment and care for STI. This is part of sexual health and well-being for all that is made possible by stronger public sexual health and primary healthcare systems. </w:t>
      </w:r>
      <w:r w:rsidRPr="00442D9E">
        <w:rPr>
          <w:rFonts w:eastAsiaTheme="minorEastAsia" w:cs="Arial"/>
          <w:color w:val="000000" w:themeColor="text1"/>
          <w:sz w:val="22"/>
          <w:szCs w:val="22"/>
        </w:rPr>
        <w:t>Since the first national STI strategy in 2005, Australia’s response has been underpinned by a partnership approach between the Commonwealth, state and territory governments, priority populations, community organisations, researchers and clinicians.</w:t>
      </w:r>
    </w:p>
    <w:p w14:paraId="71A54803" w14:textId="7E7D6BDD" w:rsidR="00031E79" w:rsidRDefault="00031E79" w:rsidP="00D74561">
      <w:pPr>
        <w:pStyle w:val="BodyText"/>
        <w:spacing w:after="240"/>
        <w:jc w:val="both"/>
        <w:rPr>
          <w:rFonts w:eastAsiaTheme="minorEastAsia" w:cs="Arial"/>
          <w:color w:val="000000" w:themeColor="text1"/>
          <w:sz w:val="22"/>
          <w:szCs w:val="22"/>
        </w:rPr>
      </w:pPr>
      <w:r w:rsidRPr="00442D9E">
        <w:rPr>
          <w:rFonts w:cs="Arial"/>
          <w:color w:val="000000" w:themeColor="text1"/>
          <w:sz w:val="22"/>
          <w:szCs w:val="22"/>
        </w:rPr>
        <w:t xml:space="preserve">STI remain a public health challenge in Australia, and efforts to address STI have only partially succeeded. At the time of development of this </w:t>
      </w:r>
      <w:r w:rsidR="008E5475">
        <w:rPr>
          <w:rFonts w:cs="Arial"/>
          <w:color w:val="000000" w:themeColor="text1"/>
          <w:sz w:val="22"/>
          <w:szCs w:val="22"/>
        </w:rPr>
        <w:t>S</w:t>
      </w:r>
      <w:r w:rsidRPr="00442D9E">
        <w:rPr>
          <w:rFonts w:cs="Arial"/>
          <w:color w:val="000000" w:themeColor="text1"/>
          <w:sz w:val="22"/>
          <w:szCs w:val="22"/>
        </w:rPr>
        <w:t>trategy, STI</w:t>
      </w:r>
      <w:r w:rsidR="00ED4F5E">
        <w:rPr>
          <w:rFonts w:cs="Arial"/>
          <w:color w:val="000000" w:themeColor="text1"/>
          <w:sz w:val="22"/>
          <w:szCs w:val="22"/>
        </w:rPr>
        <w:t xml:space="preserve"> case numbers</w:t>
      </w:r>
      <w:r w:rsidRPr="00442D9E">
        <w:rPr>
          <w:rFonts w:cs="Arial"/>
          <w:color w:val="000000" w:themeColor="text1"/>
          <w:sz w:val="22"/>
          <w:szCs w:val="22"/>
        </w:rPr>
        <w:t xml:space="preserve">, including </w:t>
      </w:r>
      <w:r w:rsidR="00ED4F5E">
        <w:rPr>
          <w:rFonts w:cs="Arial"/>
          <w:color w:val="000000" w:themeColor="text1"/>
          <w:sz w:val="22"/>
          <w:szCs w:val="22"/>
        </w:rPr>
        <w:t>for</w:t>
      </w:r>
      <w:r w:rsidRPr="00442D9E">
        <w:rPr>
          <w:rFonts w:cs="Arial"/>
          <w:color w:val="000000" w:themeColor="text1"/>
          <w:sz w:val="22"/>
          <w:szCs w:val="22"/>
        </w:rPr>
        <w:t xml:space="preserve"> congenital syphilis, are rising, even though in most cases STI are treatable. The epidemiology of STI in Australia is rapidly evolving, and there is a need for </w:t>
      </w:r>
      <w:r w:rsidRPr="00442D9E">
        <w:rPr>
          <w:rFonts w:eastAsia="Roboto-Light" w:cs="Arial"/>
          <w:color w:val="000000" w:themeColor="text1"/>
          <w:sz w:val="22"/>
          <w:szCs w:val="22"/>
        </w:rPr>
        <w:t>targeted health promotion, quality surveillance</w:t>
      </w:r>
      <w:r w:rsidR="009820D1" w:rsidRPr="00442D9E">
        <w:rPr>
          <w:rFonts w:eastAsia="Roboto-Light" w:cs="Arial"/>
          <w:color w:val="000000" w:themeColor="text1"/>
          <w:sz w:val="22"/>
          <w:szCs w:val="22"/>
        </w:rPr>
        <w:t xml:space="preserve">, </w:t>
      </w:r>
      <w:r w:rsidRPr="00442D9E">
        <w:rPr>
          <w:rFonts w:eastAsia="Roboto-Light" w:cs="Arial"/>
          <w:color w:val="000000" w:themeColor="text1"/>
          <w:sz w:val="22"/>
          <w:szCs w:val="22"/>
        </w:rPr>
        <w:t>timely data systems, enhanced testing</w:t>
      </w:r>
      <w:r w:rsidR="00116DCF">
        <w:rPr>
          <w:rFonts w:eastAsia="Roboto-Light" w:cs="Arial"/>
          <w:color w:val="000000" w:themeColor="text1"/>
          <w:sz w:val="22"/>
          <w:szCs w:val="22"/>
        </w:rPr>
        <w:t>,</w:t>
      </w:r>
      <w:r w:rsidRPr="00442D9E">
        <w:rPr>
          <w:rFonts w:eastAsia="Roboto-Light" w:cs="Arial"/>
          <w:color w:val="000000" w:themeColor="text1"/>
          <w:sz w:val="22"/>
          <w:szCs w:val="22"/>
        </w:rPr>
        <w:t xml:space="preserve"> and partner notification in priority populations. </w:t>
      </w:r>
      <w:r w:rsidRPr="00442D9E">
        <w:rPr>
          <w:rFonts w:eastAsiaTheme="minorEastAsia" w:cs="Arial"/>
          <w:color w:val="000000" w:themeColor="text1"/>
          <w:sz w:val="22"/>
          <w:szCs w:val="22"/>
        </w:rPr>
        <w:t>Approaches must counter STI-related stigma as a known barrier to people accessing prevention, testing, treatment</w:t>
      </w:r>
      <w:r w:rsidR="00116DCF">
        <w:rPr>
          <w:rFonts w:eastAsiaTheme="minorEastAsia" w:cs="Arial"/>
          <w:color w:val="000000" w:themeColor="text1"/>
          <w:sz w:val="22"/>
          <w:szCs w:val="22"/>
        </w:rPr>
        <w:t>,</w:t>
      </w:r>
      <w:r w:rsidRPr="00442D9E">
        <w:rPr>
          <w:rFonts w:eastAsiaTheme="minorEastAsia" w:cs="Arial"/>
          <w:color w:val="000000" w:themeColor="text1"/>
          <w:sz w:val="22"/>
          <w:szCs w:val="22"/>
        </w:rPr>
        <w:t xml:space="preserve"> and support.</w:t>
      </w:r>
    </w:p>
    <w:p w14:paraId="2EF63C83" w14:textId="079FAC0A" w:rsidR="00031E79" w:rsidRDefault="00031E79" w:rsidP="00D74561">
      <w:pPr>
        <w:pBdr>
          <w:top w:val="nil"/>
          <w:left w:val="nil"/>
          <w:bottom w:val="nil"/>
          <w:right w:val="nil"/>
          <w:between w:val="nil"/>
        </w:pBdr>
        <w:shd w:val="clear" w:color="auto" w:fill="FFFFFF" w:themeFill="background1"/>
        <w:spacing w:after="240"/>
        <w:jc w:val="both"/>
        <w:rPr>
          <w:rFonts w:cs="Arial"/>
          <w:color w:val="000000" w:themeColor="text1"/>
          <w:sz w:val="22"/>
          <w:szCs w:val="22"/>
        </w:rPr>
      </w:pPr>
      <w:r w:rsidRPr="00442D9E">
        <w:rPr>
          <w:rFonts w:cs="Arial"/>
          <w:color w:val="000000" w:themeColor="text1"/>
          <w:sz w:val="22"/>
          <w:szCs w:val="22"/>
          <w:shd w:val="clear" w:color="auto" w:fill="FFFFFF"/>
        </w:rPr>
        <w:t xml:space="preserve">This </w:t>
      </w:r>
      <w:r w:rsidR="008E5475">
        <w:rPr>
          <w:rFonts w:cs="Arial"/>
          <w:color w:val="000000" w:themeColor="text1"/>
          <w:sz w:val="22"/>
          <w:szCs w:val="22"/>
          <w:shd w:val="clear" w:color="auto" w:fill="FFFFFF"/>
        </w:rPr>
        <w:t>S</w:t>
      </w:r>
      <w:r w:rsidRPr="00442D9E">
        <w:rPr>
          <w:rFonts w:cs="Arial"/>
          <w:color w:val="000000" w:themeColor="text1"/>
          <w:sz w:val="22"/>
          <w:szCs w:val="22"/>
          <w:shd w:val="clear" w:color="auto" w:fill="FFFFFF"/>
        </w:rPr>
        <w:t xml:space="preserve">trategy sits alongside a suite of strategies that address </w:t>
      </w:r>
      <w:r w:rsidR="77D7B04A" w:rsidRPr="00442D9E">
        <w:rPr>
          <w:rFonts w:cs="Arial"/>
          <w:color w:val="000000" w:themeColor="text1"/>
          <w:sz w:val="22"/>
          <w:szCs w:val="22"/>
          <w:shd w:val="clear" w:color="auto" w:fill="FFFFFF"/>
        </w:rPr>
        <w:t>h</w:t>
      </w:r>
      <w:r w:rsidRPr="00442D9E">
        <w:rPr>
          <w:rFonts w:cs="Arial"/>
          <w:sz w:val="22"/>
          <w:szCs w:val="22"/>
        </w:rPr>
        <w:t>uman immunodeficiency virus</w:t>
      </w:r>
      <w:r w:rsidRPr="00442D9E">
        <w:rPr>
          <w:rFonts w:cs="Arial"/>
          <w:color w:val="000000" w:themeColor="text1"/>
          <w:sz w:val="22"/>
          <w:szCs w:val="22"/>
          <w:shd w:val="clear" w:color="auto" w:fill="FFFFFF"/>
        </w:rPr>
        <w:t xml:space="preserve"> (HIV), </w:t>
      </w:r>
      <w:r w:rsidR="3D637665" w:rsidRPr="00442D9E">
        <w:rPr>
          <w:rFonts w:cs="Arial"/>
          <w:color w:val="000000" w:themeColor="text1"/>
          <w:sz w:val="22"/>
          <w:szCs w:val="22"/>
          <w:shd w:val="clear" w:color="auto" w:fill="FFFFFF"/>
        </w:rPr>
        <w:t>h</w:t>
      </w:r>
      <w:r w:rsidRPr="00442D9E">
        <w:rPr>
          <w:rFonts w:cs="Arial"/>
          <w:color w:val="000000" w:themeColor="text1"/>
          <w:sz w:val="22"/>
          <w:szCs w:val="22"/>
          <w:shd w:val="clear" w:color="auto" w:fill="FFFFFF"/>
        </w:rPr>
        <w:t xml:space="preserve">epatitis B, </w:t>
      </w:r>
      <w:r w:rsidR="40C25486" w:rsidRPr="00442D9E">
        <w:rPr>
          <w:rFonts w:cs="Arial"/>
          <w:color w:val="000000" w:themeColor="text1"/>
          <w:sz w:val="22"/>
          <w:szCs w:val="22"/>
          <w:shd w:val="clear" w:color="auto" w:fill="FFFFFF"/>
        </w:rPr>
        <w:t>h</w:t>
      </w:r>
      <w:r w:rsidRPr="00442D9E">
        <w:rPr>
          <w:rFonts w:cs="Arial"/>
          <w:color w:val="000000" w:themeColor="text1"/>
          <w:sz w:val="22"/>
          <w:szCs w:val="22"/>
          <w:shd w:val="clear" w:color="auto" w:fill="FFFFFF"/>
        </w:rPr>
        <w:t xml:space="preserve">epatitis C, </w:t>
      </w:r>
      <w:r w:rsidRPr="00442D9E">
        <w:rPr>
          <w:rFonts w:cs="Arial"/>
          <w:color w:val="000000" w:themeColor="text1"/>
          <w:sz w:val="22"/>
          <w:szCs w:val="22"/>
        </w:rPr>
        <w:t>blood-borne viruses (BBV)</w:t>
      </w:r>
      <w:r w:rsidRPr="00442D9E">
        <w:rPr>
          <w:rFonts w:cs="Arial"/>
          <w:color w:val="000000" w:themeColor="text1"/>
          <w:sz w:val="22"/>
          <w:szCs w:val="22"/>
          <w:shd w:val="clear" w:color="auto" w:fill="FFFFFF"/>
        </w:rPr>
        <w:t xml:space="preserve"> and STI in </w:t>
      </w:r>
      <w:r w:rsidR="009E5590" w:rsidRPr="009E5590">
        <w:rPr>
          <w:rFonts w:cs="Arial"/>
          <w:color w:val="000000" w:themeColor="text1"/>
          <w:sz w:val="22"/>
          <w:szCs w:val="22"/>
          <w:shd w:val="clear" w:color="auto" w:fill="FFFFFF"/>
        </w:rPr>
        <w:t>Aboriginal and Torres Strait Islander</w:t>
      </w:r>
      <w:r w:rsidR="009E5590">
        <w:rPr>
          <w:rFonts w:cs="Arial"/>
          <w:color w:val="000000" w:themeColor="text1"/>
          <w:sz w:val="22"/>
          <w:szCs w:val="22"/>
          <w:shd w:val="clear" w:color="auto" w:fill="FFFFFF"/>
        </w:rPr>
        <w:t xml:space="preserve"> </w:t>
      </w:r>
      <w:r w:rsidR="0057614A">
        <w:rPr>
          <w:rFonts w:cs="Arial"/>
          <w:color w:val="000000" w:themeColor="text1"/>
          <w:sz w:val="22"/>
          <w:szCs w:val="22"/>
          <w:shd w:val="clear" w:color="auto" w:fill="FFFFFF"/>
        </w:rPr>
        <w:t xml:space="preserve">people. </w:t>
      </w:r>
      <w:r w:rsidRPr="00442D9E">
        <w:rPr>
          <w:rFonts w:cs="Arial"/>
          <w:color w:val="000000" w:themeColor="text1"/>
          <w:sz w:val="22"/>
          <w:szCs w:val="22"/>
          <w:shd w:val="clear" w:color="auto" w:fill="FFFFFF"/>
        </w:rPr>
        <w:t xml:space="preserve">While there are important synergies with these strategies this </w:t>
      </w:r>
      <w:r w:rsidR="008E5475">
        <w:rPr>
          <w:rFonts w:cs="Arial"/>
          <w:color w:val="000000" w:themeColor="text1"/>
          <w:sz w:val="22"/>
          <w:szCs w:val="22"/>
          <w:shd w:val="clear" w:color="auto" w:fill="FFFFFF"/>
        </w:rPr>
        <w:t>St</w:t>
      </w:r>
      <w:r w:rsidRPr="00442D9E">
        <w:rPr>
          <w:rFonts w:cs="Arial"/>
          <w:color w:val="000000" w:themeColor="text1"/>
          <w:sz w:val="22"/>
          <w:szCs w:val="22"/>
          <w:shd w:val="clear" w:color="auto" w:fill="FFFFFF"/>
        </w:rPr>
        <w:t>rategy focus</w:t>
      </w:r>
      <w:r w:rsidR="00ED4F5E">
        <w:rPr>
          <w:rFonts w:cs="Arial"/>
          <w:color w:val="000000" w:themeColor="text1"/>
          <w:sz w:val="22"/>
          <w:szCs w:val="22"/>
          <w:shd w:val="clear" w:color="auto" w:fill="FFFFFF"/>
        </w:rPr>
        <w:t>es</w:t>
      </w:r>
      <w:r w:rsidRPr="00442D9E">
        <w:rPr>
          <w:rFonts w:cs="Arial"/>
          <w:color w:val="000000" w:themeColor="text1"/>
          <w:sz w:val="22"/>
          <w:szCs w:val="22"/>
          <w:shd w:val="clear" w:color="auto" w:fill="FFFFFF"/>
        </w:rPr>
        <w:t xml:space="preserve"> on </w:t>
      </w:r>
      <w:r w:rsidR="00ED4F5E">
        <w:rPr>
          <w:rFonts w:cs="Arial"/>
          <w:color w:val="000000" w:themeColor="text1"/>
          <w:sz w:val="22"/>
          <w:szCs w:val="22"/>
          <w:shd w:val="clear" w:color="auto" w:fill="FFFFFF"/>
        </w:rPr>
        <w:t>the</w:t>
      </w:r>
      <w:r w:rsidRPr="00442D9E">
        <w:rPr>
          <w:rFonts w:cs="Arial"/>
          <w:color w:val="000000" w:themeColor="text1"/>
          <w:sz w:val="22"/>
          <w:szCs w:val="22"/>
          <w:shd w:val="clear" w:color="auto" w:fill="FFFFFF"/>
        </w:rPr>
        <w:t xml:space="preserve"> particular characteristics of</w:t>
      </w:r>
      <w:r w:rsidR="007D79CD">
        <w:rPr>
          <w:rFonts w:cs="Arial"/>
          <w:color w:val="000000" w:themeColor="text1"/>
          <w:sz w:val="22"/>
          <w:szCs w:val="22"/>
          <w:shd w:val="clear" w:color="auto" w:fill="FFFFFF"/>
        </w:rPr>
        <w:t xml:space="preserve"> STI</w:t>
      </w:r>
      <w:r w:rsidRPr="00442D9E">
        <w:rPr>
          <w:rFonts w:cs="Arial"/>
          <w:color w:val="000000" w:themeColor="text1"/>
          <w:sz w:val="22"/>
          <w:szCs w:val="22"/>
          <w:shd w:val="clear" w:color="auto" w:fill="FFFFFF"/>
        </w:rPr>
        <w:t xml:space="preserve">. </w:t>
      </w:r>
      <w:r w:rsidR="008C7320" w:rsidRPr="008C7320">
        <w:rPr>
          <w:rFonts w:cs="Arial"/>
          <w:color w:val="000000" w:themeColor="text1"/>
          <w:sz w:val="22"/>
          <w:szCs w:val="22"/>
          <w:shd w:val="clear" w:color="auto" w:fill="FFFFFF"/>
        </w:rPr>
        <w:t xml:space="preserve">Many STI have antimicrobial </w:t>
      </w:r>
      <w:r w:rsidR="007904A1">
        <w:rPr>
          <w:rFonts w:cs="Arial"/>
          <w:color w:val="000000" w:themeColor="text1"/>
          <w:sz w:val="22"/>
          <w:szCs w:val="22"/>
          <w:shd w:val="clear" w:color="auto" w:fill="FFFFFF"/>
        </w:rPr>
        <w:t>medicines (such as antibiotics)</w:t>
      </w:r>
      <w:r w:rsidR="008C7320" w:rsidRPr="008C7320">
        <w:rPr>
          <w:rFonts w:cs="Arial"/>
          <w:color w:val="000000" w:themeColor="text1"/>
          <w:sz w:val="22"/>
          <w:szCs w:val="22"/>
          <w:shd w:val="clear" w:color="auto" w:fill="FFFFFF"/>
        </w:rPr>
        <w:t xml:space="preserve"> available, however infections can often be asymptomatic or have very mild symptoms. </w:t>
      </w:r>
      <w:r w:rsidR="00E34376">
        <w:rPr>
          <w:rFonts w:cs="Arial"/>
          <w:color w:val="000000" w:themeColor="text1"/>
          <w:sz w:val="22"/>
          <w:szCs w:val="22"/>
          <w:shd w:val="clear" w:color="auto" w:fill="FFFFFF"/>
        </w:rPr>
        <w:t>R</w:t>
      </w:r>
      <w:r w:rsidR="00E34376" w:rsidRPr="008C7320">
        <w:rPr>
          <w:rFonts w:cs="Arial"/>
          <w:color w:val="000000" w:themeColor="text1"/>
          <w:sz w:val="22"/>
          <w:szCs w:val="22"/>
          <w:shd w:val="clear" w:color="auto" w:fill="FFFFFF"/>
        </w:rPr>
        <w:t>educing time-to-treatment is important to prevent further transmission</w:t>
      </w:r>
      <w:r w:rsidR="00B06DF1">
        <w:rPr>
          <w:rFonts w:cs="Arial"/>
          <w:color w:val="000000" w:themeColor="text1"/>
          <w:sz w:val="22"/>
          <w:szCs w:val="22"/>
          <w:shd w:val="clear" w:color="auto" w:fill="FFFFFF"/>
        </w:rPr>
        <w:t xml:space="preserve"> and </w:t>
      </w:r>
      <w:r w:rsidR="00DB0C56">
        <w:rPr>
          <w:rFonts w:cs="Arial"/>
          <w:color w:val="000000" w:themeColor="text1"/>
          <w:sz w:val="22"/>
          <w:szCs w:val="22"/>
          <w:shd w:val="clear" w:color="auto" w:fill="FFFFFF"/>
        </w:rPr>
        <w:t>support</w:t>
      </w:r>
      <w:r w:rsidR="00B06DF1">
        <w:rPr>
          <w:rFonts w:cs="Arial"/>
          <w:color w:val="000000" w:themeColor="text1"/>
          <w:sz w:val="22"/>
          <w:szCs w:val="22"/>
          <w:shd w:val="clear" w:color="auto" w:fill="FFFFFF"/>
        </w:rPr>
        <w:t>s</w:t>
      </w:r>
      <w:r w:rsidR="008C7320" w:rsidRPr="008C7320">
        <w:rPr>
          <w:rFonts w:cs="Arial"/>
          <w:color w:val="000000" w:themeColor="text1"/>
          <w:sz w:val="22"/>
          <w:szCs w:val="22"/>
          <w:shd w:val="clear" w:color="auto" w:fill="FFFFFF"/>
        </w:rPr>
        <w:t xml:space="preserve"> a focus on ensuring testing is available to people affected by STI</w:t>
      </w:r>
      <w:r w:rsidR="00DF3592">
        <w:rPr>
          <w:rFonts w:cs="Arial"/>
          <w:color w:val="000000" w:themeColor="text1"/>
          <w:sz w:val="22"/>
          <w:szCs w:val="22"/>
          <w:shd w:val="clear" w:color="auto" w:fill="FFFFFF"/>
        </w:rPr>
        <w:t xml:space="preserve">. </w:t>
      </w:r>
      <w:r w:rsidR="00824425">
        <w:rPr>
          <w:rFonts w:cs="Arial"/>
          <w:color w:val="000000" w:themeColor="text1"/>
          <w:sz w:val="22"/>
          <w:szCs w:val="22"/>
          <w:shd w:val="clear" w:color="auto" w:fill="FFFFFF"/>
        </w:rPr>
        <w:t xml:space="preserve">Additionally, </w:t>
      </w:r>
      <w:r w:rsidRPr="00442D9E">
        <w:rPr>
          <w:rFonts w:cs="Arial"/>
          <w:color w:val="000000" w:themeColor="text1"/>
          <w:sz w:val="22"/>
          <w:szCs w:val="22"/>
          <w:shd w:val="clear" w:color="auto" w:fill="FFFFFF"/>
        </w:rPr>
        <w:t xml:space="preserve">the health workforce need to understand </w:t>
      </w:r>
      <w:r w:rsidR="00BD35D2" w:rsidRPr="00442D9E">
        <w:rPr>
          <w:rFonts w:cs="Arial"/>
          <w:color w:val="000000" w:themeColor="text1"/>
          <w:sz w:val="22"/>
          <w:szCs w:val="22"/>
          <w:shd w:val="clear" w:color="auto" w:fill="FFFFFF"/>
        </w:rPr>
        <w:t xml:space="preserve">that </w:t>
      </w:r>
      <w:r w:rsidRPr="00442D9E">
        <w:rPr>
          <w:rFonts w:cs="Arial"/>
          <w:color w:val="000000" w:themeColor="text1"/>
          <w:sz w:val="22"/>
          <w:szCs w:val="22"/>
          <w:shd w:val="clear" w:color="auto" w:fill="FFFFFF"/>
        </w:rPr>
        <w:t xml:space="preserve">when testing is </w:t>
      </w:r>
      <w:r w:rsidR="00951777">
        <w:rPr>
          <w:rFonts w:cs="Arial"/>
          <w:color w:val="000000" w:themeColor="text1"/>
          <w:sz w:val="22"/>
          <w:szCs w:val="22"/>
          <w:shd w:val="clear" w:color="auto" w:fill="FFFFFF"/>
        </w:rPr>
        <w:t>required</w:t>
      </w:r>
      <w:r w:rsidRPr="00442D9E">
        <w:rPr>
          <w:rFonts w:cs="Arial"/>
          <w:color w:val="000000" w:themeColor="text1"/>
          <w:sz w:val="22"/>
          <w:szCs w:val="22"/>
          <w:shd w:val="clear" w:color="auto" w:fill="FFFFFF"/>
        </w:rPr>
        <w:t xml:space="preserve">, </w:t>
      </w:r>
      <w:r w:rsidR="004D6D1C" w:rsidRPr="00442D9E">
        <w:rPr>
          <w:rFonts w:cs="Arial"/>
          <w:color w:val="000000" w:themeColor="text1"/>
          <w:sz w:val="22"/>
          <w:szCs w:val="22"/>
          <w:shd w:val="clear" w:color="auto" w:fill="FFFFFF"/>
        </w:rPr>
        <w:t>it</w:t>
      </w:r>
      <w:r w:rsidRPr="00442D9E">
        <w:rPr>
          <w:rFonts w:cs="Arial"/>
          <w:color w:val="000000" w:themeColor="text1"/>
          <w:sz w:val="22"/>
          <w:szCs w:val="22"/>
          <w:shd w:val="clear" w:color="auto" w:fill="FFFFFF"/>
        </w:rPr>
        <w:t xml:space="preserve"> needs to be readily available. Reinfection is also a focus,</w:t>
      </w:r>
      <w:r w:rsidR="008660AF">
        <w:rPr>
          <w:rFonts w:cs="Arial"/>
          <w:color w:val="000000" w:themeColor="text1"/>
          <w:sz w:val="22"/>
          <w:szCs w:val="22"/>
          <w:shd w:val="clear" w:color="auto" w:fill="FFFFFF"/>
        </w:rPr>
        <w:t xml:space="preserve"> </w:t>
      </w:r>
      <w:r w:rsidR="00C61CF2">
        <w:rPr>
          <w:rFonts w:cs="Arial"/>
          <w:color w:val="000000" w:themeColor="text1"/>
          <w:sz w:val="22"/>
          <w:szCs w:val="22"/>
          <w:shd w:val="clear" w:color="auto" w:fill="FFFFFF"/>
        </w:rPr>
        <w:t>with</w:t>
      </w:r>
      <w:r w:rsidRPr="00442D9E">
        <w:rPr>
          <w:rFonts w:cs="Arial"/>
          <w:color w:val="000000" w:themeColor="text1"/>
          <w:sz w:val="22"/>
          <w:szCs w:val="22"/>
          <w:shd w:val="clear" w:color="auto" w:fill="FFFFFF"/>
        </w:rPr>
        <w:t xml:space="preserve"> </w:t>
      </w:r>
      <w:r w:rsidRPr="00442D9E">
        <w:rPr>
          <w:rFonts w:cs="Arial"/>
          <w:color w:val="000000" w:themeColor="text1"/>
          <w:sz w:val="22"/>
          <w:szCs w:val="22"/>
        </w:rPr>
        <w:t xml:space="preserve">contact tracing and testing of partners </w:t>
      </w:r>
      <w:r w:rsidR="00C61CF2">
        <w:rPr>
          <w:rFonts w:cs="Arial"/>
          <w:color w:val="000000" w:themeColor="text1"/>
          <w:sz w:val="22"/>
          <w:szCs w:val="22"/>
        </w:rPr>
        <w:t>being</w:t>
      </w:r>
      <w:r w:rsidRPr="00442D9E">
        <w:rPr>
          <w:rFonts w:cs="Arial"/>
          <w:color w:val="000000" w:themeColor="text1"/>
          <w:sz w:val="22"/>
          <w:szCs w:val="22"/>
        </w:rPr>
        <w:t xml:space="preserve"> a critical part of prevention. For the first time, people who have had a STI within the previous 12 months are included in the strategy as </w:t>
      </w:r>
      <w:r w:rsidR="00ED4F5E">
        <w:rPr>
          <w:rFonts w:cs="Arial"/>
          <w:color w:val="000000" w:themeColor="text1"/>
          <w:sz w:val="22"/>
          <w:szCs w:val="22"/>
        </w:rPr>
        <w:t xml:space="preserve">a </w:t>
      </w:r>
      <w:r w:rsidRPr="00442D9E">
        <w:rPr>
          <w:rFonts w:cs="Arial"/>
          <w:color w:val="000000" w:themeColor="text1"/>
          <w:sz w:val="22"/>
          <w:szCs w:val="22"/>
        </w:rPr>
        <w:t>priority population.</w:t>
      </w:r>
    </w:p>
    <w:p w14:paraId="2F232B84" w14:textId="32A10CC2" w:rsidR="00031E79" w:rsidRPr="003F5976" w:rsidRDefault="00031E79" w:rsidP="00D74561">
      <w:pPr>
        <w:spacing w:after="240"/>
        <w:jc w:val="both"/>
        <w:rPr>
          <w:sz w:val="22"/>
          <w:szCs w:val="22"/>
          <w:shd w:val="clear" w:color="auto" w:fill="FFFFFF"/>
        </w:rPr>
      </w:pPr>
      <w:r w:rsidRPr="71C9B048">
        <w:rPr>
          <w:rFonts w:eastAsiaTheme="minorEastAsia" w:cs="Arial"/>
          <w:color w:val="000000" w:themeColor="text1"/>
          <w:sz w:val="22"/>
          <w:szCs w:val="22"/>
        </w:rPr>
        <w:t xml:space="preserve">This </w:t>
      </w:r>
      <w:r w:rsidR="007D79CD" w:rsidRPr="71C9B048">
        <w:rPr>
          <w:rFonts w:eastAsiaTheme="minorEastAsia" w:cs="Arial"/>
          <w:color w:val="000000" w:themeColor="text1"/>
          <w:sz w:val="22"/>
          <w:szCs w:val="22"/>
        </w:rPr>
        <w:t>S</w:t>
      </w:r>
      <w:r w:rsidRPr="71C9B048">
        <w:rPr>
          <w:rFonts w:eastAsiaTheme="minorEastAsia" w:cs="Arial"/>
          <w:color w:val="000000" w:themeColor="text1"/>
          <w:sz w:val="22"/>
          <w:szCs w:val="22"/>
        </w:rPr>
        <w:t>trategy presents a shift in focus from previous STI strategies which focussed on overall STI incidence</w:t>
      </w:r>
      <w:r w:rsidR="00A128F6" w:rsidRPr="71C9B048">
        <w:rPr>
          <w:rFonts w:eastAsiaTheme="minorEastAsia" w:cs="Arial"/>
          <w:color w:val="000000" w:themeColor="text1"/>
          <w:sz w:val="22"/>
          <w:szCs w:val="22"/>
        </w:rPr>
        <w:t>.</w:t>
      </w:r>
      <w:r w:rsidRPr="71C9B048">
        <w:rPr>
          <w:rFonts w:eastAsiaTheme="minorEastAsia" w:cs="Arial"/>
          <w:color w:val="000000" w:themeColor="text1"/>
          <w:sz w:val="22"/>
          <w:szCs w:val="22"/>
        </w:rPr>
        <w:t xml:space="preserve"> </w:t>
      </w:r>
      <w:r w:rsidR="00A128F6" w:rsidRPr="71C9B048">
        <w:rPr>
          <w:rFonts w:eastAsiaTheme="minorEastAsia" w:cs="Arial"/>
          <w:color w:val="000000" w:themeColor="text1"/>
          <w:sz w:val="22"/>
          <w:szCs w:val="22"/>
        </w:rPr>
        <w:t>T</w:t>
      </w:r>
      <w:r w:rsidRPr="71C9B048">
        <w:rPr>
          <w:rFonts w:eastAsiaTheme="minorEastAsia" w:cs="Arial"/>
          <w:color w:val="000000" w:themeColor="text1"/>
          <w:sz w:val="22"/>
          <w:szCs w:val="22"/>
        </w:rPr>
        <w:t xml:space="preserve">his </w:t>
      </w:r>
      <w:r w:rsidR="007D79CD" w:rsidRPr="71C9B048">
        <w:rPr>
          <w:rFonts w:eastAsiaTheme="minorEastAsia" w:cs="Arial"/>
          <w:color w:val="000000" w:themeColor="text1"/>
          <w:sz w:val="22"/>
          <w:szCs w:val="22"/>
        </w:rPr>
        <w:t>S</w:t>
      </w:r>
      <w:r w:rsidRPr="71C9B048">
        <w:rPr>
          <w:rFonts w:eastAsiaTheme="minorEastAsia" w:cs="Arial"/>
          <w:color w:val="000000" w:themeColor="text1"/>
          <w:sz w:val="22"/>
          <w:szCs w:val="22"/>
        </w:rPr>
        <w:t xml:space="preserve">trategy instead brings more focus </w:t>
      </w:r>
      <w:r w:rsidR="00ED4F5E">
        <w:rPr>
          <w:rFonts w:eastAsiaTheme="minorEastAsia" w:cs="Arial"/>
          <w:color w:val="000000" w:themeColor="text1"/>
          <w:sz w:val="22"/>
          <w:szCs w:val="22"/>
        </w:rPr>
        <w:t>on</w:t>
      </w:r>
      <w:r w:rsidRPr="71C9B048">
        <w:rPr>
          <w:rFonts w:eastAsiaTheme="minorEastAsia" w:cs="Arial"/>
          <w:color w:val="000000" w:themeColor="text1"/>
          <w:sz w:val="22"/>
          <w:szCs w:val="22"/>
        </w:rPr>
        <w:t xml:space="preserve"> </w:t>
      </w:r>
      <w:r w:rsidRPr="00442D9E">
        <w:rPr>
          <w:rFonts w:cs="Arial"/>
          <w:color w:val="000000" w:themeColor="text1"/>
          <w:sz w:val="22"/>
          <w:szCs w:val="22"/>
          <w:shd w:val="clear" w:color="auto" w:fill="FFFFFF"/>
        </w:rPr>
        <w:t xml:space="preserve">STI-related morbidity. Although the </w:t>
      </w:r>
      <w:r w:rsidR="007D79CD">
        <w:rPr>
          <w:rFonts w:cs="Arial"/>
          <w:color w:val="000000" w:themeColor="text1"/>
          <w:sz w:val="22"/>
          <w:szCs w:val="22"/>
          <w:shd w:val="clear" w:color="auto" w:fill="FFFFFF"/>
        </w:rPr>
        <w:t>S</w:t>
      </w:r>
      <w:r w:rsidRPr="00442D9E">
        <w:rPr>
          <w:rFonts w:cs="Arial"/>
          <w:color w:val="000000" w:themeColor="text1"/>
          <w:sz w:val="22"/>
          <w:szCs w:val="22"/>
          <w:shd w:val="clear" w:color="auto" w:fill="FFFFFF"/>
        </w:rPr>
        <w:t xml:space="preserve">trategy recognises the </w:t>
      </w:r>
      <w:r w:rsidR="00B6412E">
        <w:rPr>
          <w:rFonts w:cs="Arial"/>
          <w:color w:val="000000" w:themeColor="text1"/>
          <w:sz w:val="22"/>
          <w:szCs w:val="22"/>
          <w:shd w:val="clear" w:color="auto" w:fill="FFFFFF"/>
        </w:rPr>
        <w:t>value</w:t>
      </w:r>
      <w:r w:rsidRPr="00442D9E">
        <w:rPr>
          <w:rFonts w:cs="Arial"/>
          <w:color w:val="000000" w:themeColor="text1"/>
          <w:sz w:val="22"/>
          <w:szCs w:val="22"/>
          <w:shd w:val="clear" w:color="auto" w:fill="FFFFFF"/>
        </w:rPr>
        <w:t xml:space="preserve"> of screening for particular STI in specific population groups, </w:t>
      </w:r>
      <w:r w:rsidR="00B6412E">
        <w:rPr>
          <w:rFonts w:cs="Arial"/>
          <w:color w:val="000000" w:themeColor="text1"/>
          <w:sz w:val="22"/>
          <w:szCs w:val="22"/>
          <w:shd w:val="clear" w:color="auto" w:fill="FFFFFF"/>
        </w:rPr>
        <w:t>it</w:t>
      </w:r>
      <w:r w:rsidRPr="00442D9E">
        <w:rPr>
          <w:rFonts w:cs="Arial"/>
          <w:color w:val="000000" w:themeColor="text1"/>
          <w:sz w:val="22"/>
          <w:szCs w:val="22"/>
          <w:shd w:val="clear" w:color="auto" w:fill="FFFFFF"/>
        </w:rPr>
        <w:t xml:space="preserve"> aims to balance the </w:t>
      </w:r>
      <w:r w:rsidR="37386DC5" w:rsidRPr="00442D9E">
        <w:rPr>
          <w:rFonts w:cs="Arial"/>
          <w:color w:val="000000" w:themeColor="text1"/>
          <w:sz w:val="22"/>
          <w:szCs w:val="22"/>
          <w:shd w:val="clear" w:color="auto" w:fill="FFFFFF"/>
        </w:rPr>
        <w:t>approach and</w:t>
      </w:r>
      <w:r w:rsidRPr="00442D9E">
        <w:rPr>
          <w:rFonts w:cs="Arial"/>
          <w:color w:val="000000" w:themeColor="text1"/>
          <w:sz w:val="22"/>
          <w:szCs w:val="22"/>
          <w:shd w:val="clear" w:color="auto" w:fill="FFFFFF"/>
        </w:rPr>
        <w:t xml:space="preserve"> concentrate STI control </w:t>
      </w:r>
      <w:r w:rsidR="00565212">
        <w:rPr>
          <w:rFonts w:cs="Arial"/>
          <w:color w:val="000000" w:themeColor="text1"/>
          <w:sz w:val="22"/>
          <w:szCs w:val="22"/>
          <w:shd w:val="clear" w:color="auto" w:fill="FFFFFF"/>
        </w:rPr>
        <w:t>through</w:t>
      </w:r>
      <w:r w:rsidRPr="00442D9E">
        <w:rPr>
          <w:rFonts w:cs="Arial"/>
          <w:color w:val="000000" w:themeColor="text1"/>
          <w:sz w:val="22"/>
          <w:szCs w:val="22"/>
          <w:shd w:val="clear" w:color="auto" w:fill="FFFFFF"/>
        </w:rPr>
        <w:t xml:space="preserve"> efforts such as </w:t>
      </w:r>
      <w:r w:rsidRPr="00442D9E">
        <w:rPr>
          <w:rFonts w:cs="Arial"/>
          <w:color w:val="000000" w:themeColor="text1"/>
          <w:sz w:val="22"/>
          <w:szCs w:val="22"/>
        </w:rPr>
        <w:t xml:space="preserve">reducing morbidities specifically related to priority populations and/or </w:t>
      </w:r>
      <w:r w:rsidRPr="007B0D63">
        <w:rPr>
          <w:rFonts w:cs="Arial"/>
          <w:color w:val="000000" w:themeColor="text1"/>
          <w:sz w:val="22"/>
          <w:szCs w:val="22"/>
        </w:rPr>
        <w:t xml:space="preserve">specific STI </w:t>
      </w:r>
      <w:r w:rsidRPr="003F5976">
        <w:rPr>
          <w:sz w:val="22"/>
          <w:szCs w:val="22"/>
          <w:shd w:val="clear" w:color="auto" w:fill="FFFFFF"/>
        </w:rPr>
        <w:t>where they are most likely to achieve improved health outcomes.</w:t>
      </w:r>
    </w:p>
    <w:p w14:paraId="5EB6D85E" w14:textId="7EEC5B85" w:rsidR="000D1052" w:rsidRPr="000D1052" w:rsidRDefault="000D1052" w:rsidP="000D1052">
      <w:pPr>
        <w:tabs>
          <w:tab w:val="left" w:pos="7780"/>
        </w:tabs>
        <w:sectPr w:rsidR="000D1052" w:rsidRPr="000D1052" w:rsidSect="004841BE">
          <w:endnotePr>
            <w:numFmt w:val="decimal"/>
          </w:endnotePr>
          <w:pgSz w:w="11900" w:h="16840"/>
          <w:pgMar w:top="1134" w:right="1134" w:bottom="1134" w:left="1134" w:header="720" w:footer="720" w:gutter="0"/>
          <w:cols w:space="720"/>
          <w:docGrid w:linePitch="360"/>
        </w:sectPr>
      </w:pPr>
      <w:r>
        <w:tab/>
      </w:r>
    </w:p>
    <w:p w14:paraId="1E481821" w14:textId="77777777" w:rsidR="002C3051" w:rsidRPr="003B2996" w:rsidRDefault="002C3051" w:rsidP="003B2996">
      <w:pPr>
        <w:pStyle w:val="Heading1"/>
        <w:rPr>
          <w:highlight w:val="white"/>
        </w:rPr>
      </w:pPr>
      <w:bookmarkStart w:id="15" w:name="_Toc150160950"/>
      <w:bookmarkStart w:id="16" w:name="_Toc163737177"/>
      <w:bookmarkStart w:id="17" w:name="_Toc138151570"/>
      <w:bookmarkStart w:id="18" w:name="_Toc138173779"/>
      <w:r w:rsidRPr="0022181C">
        <w:rPr>
          <w:highlight w:val="white"/>
        </w:rPr>
        <w:lastRenderedPageBreak/>
        <w:t>Guiding principles</w:t>
      </w:r>
      <w:bookmarkEnd w:id="15"/>
      <w:bookmarkEnd w:id="16"/>
      <w:r w:rsidRPr="0022181C">
        <w:rPr>
          <w:highlight w:val="white"/>
        </w:rPr>
        <w:t xml:space="preserve"> </w:t>
      </w:r>
      <w:bookmarkEnd w:id="17"/>
      <w:bookmarkEnd w:id="18"/>
    </w:p>
    <w:p w14:paraId="40DFF397" w14:textId="7D571503" w:rsidR="00E5116D" w:rsidRPr="00D17F26" w:rsidRDefault="00365EB2" w:rsidP="00D17F26">
      <w:pPr>
        <w:pStyle w:val="BodyText"/>
        <w:jc w:val="both"/>
        <w:rPr>
          <w:rFonts w:eastAsiaTheme="majorEastAsia" w:cs="Arial"/>
          <w:color w:val="000000" w:themeColor="text1"/>
          <w:sz w:val="22"/>
          <w:szCs w:val="22"/>
          <w:highlight w:val="white"/>
        </w:rPr>
      </w:pPr>
      <w:r w:rsidRPr="00365EB2">
        <w:rPr>
          <w:rFonts w:eastAsiaTheme="majorEastAsia" w:cs="Arial"/>
          <w:color w:val="000000" w:themeColor="text1"/>
          <w:sz w:val="22"/>
          <w:szCs w:val="22"/>
          <w:highlight w:val="white"/>
        </w:rPr>
        <w:t>Guiding principles support a high-quality, evidence-based</w:t>
      </w:r>
      <w:r w:rsidR="00116DCF">
        <w:rPr>
          <w:rFonts w:eastAsiaTheme="majorEastAsia" w:cs="Arial"/>
          <w:color w:val="000000" w:themeColor="text1"/>
          <w:sz w:val="22"/>
          <w:szCs w:val="22"/>
          <w:highlight w:val="white"/>
        </w:rPr>
        <w:t>,</w:t>
      </w:r>
      <w:r w:rsidRPr="00365EB2">
        <w:rPr>
          <w:rFonts w:eastAsiaTheme="majorEastAsia" w:cs="Arial"/>
          <w:color w:val="000000" w:themeColor="text1"/>
          <w:sz w:val="22"/>
          <w:szCs w:val="22"/>
          <w:highlight w:val="white"/>
        </w:rPr>
        <w:t xml:space="preserve"> and equitable response to STI. These are included in each of the BBV and STI strategies and are drawn from Australia’s efforts over time to respond to the challenges, threats and impacts of HIV, hepatitis B, hepatitis C</w:t>
      </w:r>
      <w:r w:rsidR="00116DCF">
        <w:rPr>
          <w:rFonts w:eastAsiaTheme="majorEastAsia" w:cs="Arial"/>
          <w:color w:val="000000" w:themeColor="text1"/>
          <w:sz w:val="22"/>
          <w:szCs w:val="22"/>
          <w:highlight w:val="white"/>
        </w:rPr>
        <w:t>,</w:t>
      </w:r>
      <w:r w:rsidRPr="00365EB2">
        <w:rPr>
          <w:rFonts w:eastAsiaTheme="majorEastAsia" w:cs="Arial"/>
          <w:color w:val="000000" w:themeColor="text1"/>
          <w:sz w:val="22"/>
          <w:szCs w:val="22"/>
          <w:highlight w:val="white"/>
        </w:rPr>
        <w:t xml:space="preserve"> and STI. The guiding principles are based on human rights and health equity</w:t>
      </w:r>
      <w:r w:rsidR="008642A5">
        <w:rPr>
          <w:rFonts w:eastAsiaTheme="majorEastAsia" w:cs="Arial"/>
          <w:color w:val="000000" w:themeColor="text1"/>
          <w:sz w:val="22"/>
          <w:szCs w:val="22"/>
          <w:highlight w:val="white"/>
        </w:rPr>
        <w:t>,</w:t>
      </w:r>
      <w:r w:rsidRPr="00365EB2">
        <w:rPr>
          <w:rFonts w:eastAsiaTheme="majorEastAsia" w:cs="Arial"/>
          <w:color w:val="000000" w:themeColor="text1"/>
          <w:sz w:val="22"/>
          <w:szCs w:val="22"/>
          <w:highlight w:val="white"/>
        </w:rPr>
        <w:t xml:space="preserve"> and promote person-centred approaches.</w:t>
      </w:r>
    </w:p>
    <w:tbl>
      <w:tblPr>
        <w:tblW w:w="9632" w:type="dxa"/>
        <w:tblLook w:val="0000" w:firstRow="0" w:lastRow="0" w:firstColumn="0" w:lastColumn="0" w:noHBand="0" w:noVBand="0"/>
      </w:tblPr>
      <w:tblGrid>
        <w:gridCol w:w="3360"/>
        <w:gridCol w:w="6272"/>
      </w:tblGrid>
      <w:tr w:rsidR="00E5116D" w:rsidRPr="00E5116D" w14:paraId="6B833052" w14:textId="77777777" w:rsidTr="00560122">
        <w:trPr>
          <w:cantSplit/>
          <w:trHeight w:val="2502"/>
        </w:trPr>
        <w:tc>
          <w:tcPr>
            <w:tcW w:w="3360" w:type="dxa"/>
          </w:tcPr>
          <w:p w14:paraId="309D5C5F" w14:textId="77777777" w:rsidR="00E5116D" w:rsidRPr="00E5116D" w:rsidRDefault="00E5116D" w:rsidP="00E5116D">
            <w:pPr>
              <w:rPr>
                <w:rFonts w:cs="Arial"/>
                <w:b/>
                <w:bCs/>
                <w:color w:val="000000" w:themeColor="text1"/>
                <w:sz w:val="32"/>
                <w:szCs w:val="32"/>
                <w:highlight w:val="white"/>
              </w:rPr>
            </w:pPr>
            <w:r w:rsidRPr="00E5116D">
              <w:rPr>
                <w:noProof/>
              </w:rPr>
              <mc:AlternateContent>
                <mc:Choice Requires="wps">
                  <w:drawing>
                    <wp:anchor distT="0" distB="0" distL="114300" distR="114300" simplePos="0" relativeHeight="251657236" behindDoc="0" locked="0" layoutInCell="1" allowOverlap="1" wp14:anchorId="75F5E932" wp14:editId="4873BB75">
                      <wp:simplePos x="0" y="0"/>
                      <wp:positionH relativeFrom="page">
                        <wp:posOffset>2540</wp:posOffset>
                      </wp:positionH>
                      <wp:positionV relativeFrom="page">
                        <wp:posOffset>0</wp:posOffset>
                      </wp:positionV>
                      <wp:extent cx="143510" cy="1347470"/>
                      <wp:effectExtent l="0" t="0" r="8890" b="5080"/>
                      <wp:wrapSquare wrapText="bothSides"/>
                      <wp:docPr id="1826333064" name="Rectangle 1826333064" descr="P181C1T2#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347470"/>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349EA" id="Rectangle 1826333064" o:spid="_x0000_s1026" alt="P181C1T2#y3" style="position:absolute;margin-left:.2pt;margin-top:0;width:11.3pt;height:106.1pt;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" fillcolor="#f7941d" stroked="f" strokeweight="1pt">
                      <w10:wrap type="square" anchorx="page" anchory="page"/>
                    </v:rect>
                  </w:pict>
                </mc:Fallback>
              </mc:AlternateContent>
            </w:r>
            <w:r w:rsidRPr="00E5116D">
              <w:rPr>
                <w:noProof/>
              </w:rPr>
              <w:drawing>
                <wp:anchor distT="0" distB="0" distL="114300" distR="114300" simplePos="0" relativeHeight="251657235" behindDoc="1" locked="0" layoutInCell="1" allowOverlap="1" wp14:anchorId="7E0082D3" wp14:editId="1AEB438F">
                  <wp:simplePos x="0" y="0"/>
                  <wp:positionH relativeFrom="page">
                    <wp:posOffset>728020</wp:posOffset>
                  </wp:positionH>
                  <wp:positionV relativeFrom="page">
                    <wp:posOffset>628251</wp:posOffset>
                  </wp:positionV>
                  <wp:extent cx="497840" cy="699135"/>
                  <wp:effectExtent l="0" t="0" r="0" b="5715"/>
                  <wp:wrapSquare wrapText="bothSides"/>
                  <wp:docPr id="56412882" name="Graphic 56412882" descr="P181C1T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2882" name="Graphic 56412882" descr="P181C1T2#y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97840" cy="699135"/>
                          </a:xfrm>
                          <a:prstGeom prst="rect">
                            <a:avLst/>
                          </a:prstGeom>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34" behindDoc="0" locked="0" layoutInCell="1" allowOverlap="1" wp14:anchorId="680E8618" wp14:editId="7E6B46FF">
                      <wp:simplePos x="0" y="0"/>
                      <wp:positionH relativeFrom="column">
                        <wp:posOffset>314325</wp:posOffset>
                      </wp:positionH>
                      <wp:positionV relativeFrom="paragraph">
                        <wp:posOffset>10160</wp:posOffset>
                      </wp:positionV>
                      <wp:extent cx="1849755" cy="1404620"/>
                      <wp:effectExtent l="0" t="0" r="0" b="0"/>
                      <wp:wrapSquare wrapText="bothSides"/>
                      <wp:docPr id="217" name="Text Box 217" descr="P181C1T2TB34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EF7C520" w14:textId="3A5B701A" w:rsidR="00894F38" w:rsidRPr="005701F0" w:rsidRDefault="00894F38" w:rsidP="00E5116D">
                                  <w:pPr>
                                    <w:rPr>
                                      <w:b/>
                                      <w:bCs/>
                                      <w:sz w:val="32"/>
                                      <w:szCs w:val="32"/>
                                    </w:rPr>
                                  </w:pPr>
                                  <w:r>
                                    <w:rPr>
                                      <w:b/>
                                      <w:bCs/>
                                      <w:sz w:val="32"/>
                                      <w:szCs w:val="32"/>
                                    </w:rPr>
                                    <w:t>Person-</w:t>
                                  </w:r>
                                  <w:r w:rsidRPr="005701F0">
                                    <w:rPr>
                                      <w:b/>
                                      <w:bCs/>
                                      <w:sz w:val="32"/>
                                      <w:szCs w:val="32"/>
                                    </w:rPr>
                                    <w:t>centred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0E8618" id="_x0000_t202" coordsize="21600,21600" o:spt="202" path="m,l,21600r21600,l21600,xe">
                      <v:stroke joinstyle="miter"/>
                      <v:path gradientshapeok="t" o:connecttype="rect"/>
                    </v:shapetype>
                    <v:shape id="Text Box 217" o:spid="_x0000_s1026" type="#_x0000_t202" alt="P181C1T2TB34bA#y1" style="position:absolute;margin-left:24.75pt;margin-top:.8pt;width:145.65pt;height:110.6pt;z-index:251657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" filled="f">
                      <v:stroke opacity="0"/>
                      <v:textbox style="mso-fit-shape-to-text:t">
                        <w:txbxContent>
                          <w:p w14:paraId="4EF7C520" w14:textId="3A5B701A" w:rsidR="00894F38" w:rsidRPr="005701F0" w:rsidRDefault="00894F38" w:rsidP="00E5116D">
                            <w:pPr>
                              <w:rPr>
                                <w:b/>
                                <w:bCs/>
                                <w:sz w:val="32"/>
                                <w:szCs w:val="32"/>
                              </w:rPr>
                            </w:pPr>
                            <w:r>
                              <w:rPr>
                                <w:b/>
                                <w:bCs/>
                                <w:sz w:val="32"/>
                                <w:szCs w:val="32"/>
                              </w:rPr>
                              <w:t>Person-</w:t>
                            </w:r>
                            <w:r w:rsidRPr="005701F0">
                              <w:rPr>
                                <w:b/>
                                <w:bCs/>
                                <w:sz w:val="32"/>
                                <w:szCs w:val="32"/>
                              </w:rPr>
                              <w:t>centred response</w:t>
                            </w:r>
                          </w:p>
                        </w:txbxContent>
                      </v:textbox>
                      <w10:wrap type="square"/>
                    </v:shape>
                  </w:pict>
                </mc:Fallback>
              </mc:AlternateContent>
            </w:r>
            <w:r w:rsidRPr="00E5116D">
              <w:rPr>
                <w:noProof/>
              </w:rPr>
              <w:drawing>
                <wp:anchor distT="0" distB="0" distL="114300" distR="114300" simplePos="0" relativeHeight="251657233" behindDoc="0" locked="0" layoutInCell="1" allowOverlap="1" wp14:anchorId="4A8D3AE4" wp14:editId="0481F1BE">
                  <wp:simplePos x="0" y="0"/>
                  <wp:positionH relativeFrom="page">
                    <wp:posOffset>36881</wp:posOffset>
                  </wp:positionH>
                  <wp:positionV relativeFrom="page">
                    <wp:posOffset>1905</wp:posOffset>
                  </wp:positionV>
                  <wp:extent cx="819150" cy="1887855"/>
                  <wp:effectExtent l="0" t="0" r="0" b="0"/>
                  <wp:wrapNone/>
                  <wp:docPr id="22" name="Graphic 22" descr="P181C1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181C1T2#y1">
                            <a:extLst>
                              <a:ext uri="{C183D7F6-B498-43B3-948B-1728B52AA6E4}">
                                <adec:decorative xmlns:adec="http://schemas.microsoft.com/office/drawing/2017/decorative" val="1"/>
                              </a:ext>
                            </a:extLst>
                          </pic:cNvPr>
                          <pic:cNvPicPr>
                            <a:picLocks noChangeAspect="1"/>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38691" t="27017" r="43657" b="38978"/>
                          <a:stretch/>
                        </pic:blipFill>
                        <pic:spPr>
                          <a:xfrm>
                            <a:off x="0" y="0"/>
                            <a:ext cx="819150" cy="1887855"/>
                          </a:xfrm>
                          <a:prstGeom prst="rect">
                            <a:avLst/>
                          </a:prstGeom>
                        </pic:spPr>
                      </pic:pic>
                    </a:graphicData>
                  </a:graphic>
                </wp:anchor>
              </w:drawing>
            </w:r>
            <w:r w:rsidRPr="00E5116D">
              <w:rPr>
                <w:rFonts w:cs="Arial"/>
                <w:b/>
                <w:bCs/>
                <w:noProof/>
                <w:color w:val="000000" w:themeColor="text1"/>
                <w:sz w:val="30"/>
                <w:szCs w:val="30"/>
                <w:highlight w:val="white"/>
              </w:rPr>
              <w:t xml:space="preserve"> </w:t>
            </w:r>
          </w:p>
        </w:tc>
        <w:tc>
          <w:tcPr>
            <w:tcW w:w="6272" w:type="dxa"/>
          </w:tcPr>
          <w:p w14:paraId="1FED704C" w14:textId="4F1AB819" w:rsidR="00E5116D" w:rsidRPr="00E5116D" w:rsidRDefault="00E5116D" w:rsidP="00D15C77">
            <w:pPr>
              <w:spacing w:after="120"/>
              <w:jc w:val="both"/>
              <w:rPr>
                <w:rFonts w:cs="Arial"/>
                <w:color w:val="000000" w:themeColor="text1"/>
                <w:sz w:val="22"/>
                <w:szCs w:val="22"/>
              </w:rPr>
            </w:pPr>
            <w:r w:rsidRPr="00E5116D">
              <w:rPr>
                <w:rFonts w:cs="Arial"/>
                <w:color w:val="000000" w:themeColor="text1"/>
                <w:sz w:val="22"/>
                <w:szCs w:val="22"/>
              </w:rPr>
              <w:t>People affected by STI must be central to Australia’s response. Affected individuals, their families, and communities are at the centre of policies, research</w:t>
            </w:r>
            <w:r w:rsidR="00836D33">
              <w:rPr>
                <w:rFonts w:cs="Arial"/>
                <w:color w:val="000000" w:themeColor="text1"/>
                <w:sz w:val="22"/>
                <w:szCs w:val="22"/>
              </w:rPr>
              <w:t>,</w:t>
            </w:r>
            <w:r w:rsidRPr="00E5116D">
              <w:rPr>
                <w:rFonts w:cs="Arial"/>
                <w:color w:val="000000" w:themeColor="text1"/>
                <w:sz w:val="22"/>
                <w:szCs w:val="22"/>
              </w:rPr>
              <w:t xml:space="preserve"> and programs across all domains (e.g., prevention, harm reduction, testing, management, treatment, care and support, and evaluation, research, surveillance</w:t>
            </w:r>
            <w:r w:rsidR="00836D33">
              <w:rPr>
                <w:rFonts w:cs="Arial"/>
                <w:color w:val="000000" w:themeColor="text1"/>
                <w:sz w:val="22"/>
                <w:szCs w:val="22"/>
              </w:rPr>
              <w:t>,</w:t>
            </w:r>
            <w:r w:rsidRPr="00E5116D">
              <w:rPr>
                <w:rFonts w:cs="Arial"/>
                <w:color w:val="000000" w:themeColor="text1"/>
                <w:sz w:val="22"/>
                <w:szCs w:val="22"/>
              </w:rPr>
              <w:t xml:space="preserve"> and monitoring</w:t>
            </w:r>
            <w:r w:rsidR="1BA8EA60" w:rsidRPr="36DC2D6A">
              <w:rPr>
                <w:rFonts w:cs="Arial"/>
                <w:color w:val="000000" w:themeColor="text1"/>
                <w:sz w:val="22"/>
                <w:szCs w:val="22"/>
              </w:rPr>
              <w:t>).</w:t>
            </w:r>
          </w:p>
          <w:p w14:paraId="45E989C6" w14:textId="7E32F97B" w:rsidR="0022181C" w:rsidRDefault="00E5116D" w:rsidP="00D74561">
            <w:pPr>
              <w:spacing w:after="120"/>
              <w:jc w:val="both"/>
              <w:rPr>
                <w:rFonts w:cs="Arial"/>
                <w:color w:val="000000" w:themeColor="text1"/>
                <w:sz w:val="22"/>
                <w:szCs w:val="22"/>
              </w:rPr>
            </w:pPr>
            <w:r w:rsidRPr="00E5116D">
              <w:rPr>
                <w:rFonts w:cs="Arial"/>
                <w:color w:val="000000" w:themeColor="text1"/>
                <w:sz w:val="22"/>
                <w:szCs w:val="22"/>
              </w:rPr>
              <w:t xml:space="preserve">In 2023, the Australasian Society for HIV, Viral Hepatitis and Sexual Health Medicine and National Association of People with HIV Australia released a statement on person-centred </w:t>
            </w:r>
            <w:r w:rsidR="00823029" w:rsidRPr="00442D9E">
              <w:rPr>
                <w:rFonts w:cs="Arial"/>
                <w:color w:val="000000" w:themeColor="text1"/>
                <w:sz w:val="22"/>
                <w:szCs w:val="22"/>
              </w:rPr>
              <w:t>care</w:t>
            </w:r>
            <w:r w:rsidR="00D15C77">
              <w:rPr>
                <w:rFonts w:cs="Arial"/>
                <w:color w:val="000000" w:themeColor="text1"/>
                <w:sz w:val="22"/>
                <w:szCs w:val="22"/>
              </w:rPr>
              <w:t>,</w:t>
            </w:r>
            <w:r w:rsidR="008B43F1">
              <w:rPr>
                <w:rFonts w:ascii="ZWAdobeF" w:hAnsi="ZWAdobeF" w:cs="ZWAdobeF"/>
                <w:sz w:val="2"/>
                <w:szCs w:val="2"/>
              </w:rPr>
              <w:t>25F</w:t>
            </w:r>
            <w:r w:rsidR="00823029" w:rsidRPr="00442D9E">
              <w:rPr>
                <w:rStyle w:val="EndnoteReference"/>
                <w:rFonts w:cs="Arial"/>
                <w:color w:val="000000" w:themeColor="text1"/>
                <w:sz w:val="22"/>
                <w:szCs w:val="22"/>
              </w:rPr>
              <w:endnoteReference w:id="25"/>
            </w:r>
            <w:r w:rsidRPr="00E5116D">
              <w:rPr>
                <w:rFonts w:cs="Arial"/>
                <w:color w:val="000000" w:themeColor="text1"/>
                <w:sz w:val="22"/>
                <w:szCs w:val="22"/>
              </w:rPr>
              <w:t xml:space="preserve"> and reflected that ‘Ultimately, a person is an expert on their own </w:t>
            </w:r>
            <w:r w:rsidR="00315429" w:rsidRPr="00E5116D">
              <w:rPr>
                <w:rFonts w:cs="Arial"/>
                <w:color w:val="000000" w:themeColor="text1"/>
                <w:sz w:val="22"/>
                <w:szCs w:val="22"/>
              </w:rPr>
              <w:t>needs...</w:t>
            </w:r>
            <w:r w:rsidR="59D2D1E9" w:rsidRPr="00E5116D">
              <w:rPr>
                <w:rFonts w:cs="Arial"/>
                <w:color w:val="000000" w:themeColor="text1"/>
                <w:sz w:val="22"/>
                <w:szCs w:val="22"/>
              </w:rPr>
              <w:t>.</w:t>
            </w:r>
            <w:r w:rsidRPr="00E5116D">
              <w:rPr>
                <w:rFonts w:cs="Arial"/>
                <w:color w:val="000000" w:themeColor="text1"/>
                <w:sz w:val="22"/>
                <w:szCs w:val="22"/>
              </w:rPr>
              <w:t>Respecting people’s autonomy empowers them to take control of their health, promotes good quality of life, and instils hope.’</w:t>
            </w:r>
          </w:p>
          <w:p w14:paraId="10FD967F" w14:textId="4512ED32" w:rsidR="00E5116D" w:rsidRPr="00E5116D" w:rsidRDefault="00E5116D" w:rsidP="00E5116D">
            <w:pPr>
              <w:spacing w:after="120"/>
              <w:rPr>
                <w:rFonts w:cs="Arial"/>
                <w:color w:val="000000" w:themeColor="text1"/>
                <w:sz w:val="22"/>
                <w:szCs w:val="22"/>
              </w:rPr>
            </w:pPr>
          </w:p>
        </w:tc>
      </w:tr>
      <w:tr w:rsidR="00E5116D" w:rsidRPr="00E5116D" w14:paraId="4438D42A" w14:textId="77777777" w:rsidTr="00560122">
        <w:trPr>
          <w:cantSplit/>
          <w:trHeight w:val="390"/>
        </w:trPr>
        <w:tc>
          <w:tcPr>
            <w:tcW w:w="3360" w:type="dxa"/>
          </w:tcPr>
          <w:p w14:paraId="22E19DBF" w14:textId="77777777" w:rsidR="00E5116D" w:rsidRPr="00E5116D" w:rsidRDefault="00E5116D" w:rsidP="00E5116D">
            <w:pPr>
              <w:rPr>
                <w:rFonts w:cs="Arial"/>
                <w:b/>
                <w:bCs/>
                <w:color w:val="000000" w:themeColor="text1"/>
                <w:sz w:val="32"/>
                <w:szCs w:val="32"/>
                <w:highlight w:val="white"/>
              </w:rPr>
            </w:pPr>
            <w:r w:rsidRPr="00E5116D">
              <w:rPr>
                <w:noProof/>
              </w:rPr>
              <mc:AlternateContent>
                <mc:Choice Requires="wps">
                  <w:drawing>
                    <wp:anchor distT="0" distB="0" distL="114300" distR="114300" simplePos="0" relativeHeight="251657237" behindDoc="0" locked="0" layoutInCell="1" allowOverlap="1" wp14:anchorId="0B4A8FFB" wp14:editId="1B9153A6">
                      <wp:simplePos x="0" y="0"/>
                      <wp:positionH relativeFrom="page">
                        <wp:posOffset>2540</wp:posOffset>
                      </wp:positionH>
                      <wp:positionV relativeFrom="page">
                        <wp:posOffset>0</wp:posOffset>
                      </wp:positionV>
                      <wp:extent cx="143510" cy="1109980"/>
                      <wp:effectExtent l="0" t="0" r="8890" b="0"/>
                      <wp:wrapSquare wrapText="bothSides"/>
                      <wp:docPr id="1219462039" name="Rectangle 1219462039" descr="P186C3T2#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109980"/>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BE043" id="Rectangle 1219462039" o:spid="_x0000_s1026" alt="P186C3T2#y3" style="position:absolute;margin-left:.2pt;margin-top:0;width:11.3pt;height:87.4pt;z-index:251657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" fillcolor="#f7941d" stroked="f" strokeweight="1pt">
                      <w10:wrap type="square" anchorx="page" anchory="page"/>
                    </v:rect>
                  </w:pict>
                </mc:Fallback>
              </mc:AlternateContent>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19" behindDoc="0" locked="0" layoutInCell="1" allowOverlap="1" wp14:anchorId="11A656D3" wp14:editId="7CD9C257">
                      <wp:simplePos x="0" y="0"/>
                      <wp:positionH relativeFrom="column">
                        <wp:posOffset>321310</wp:posOffset>
                      </wp:positionH>
                      <wp:positionV relativeFrom="paragraph">
                        <wp:posOffset>19050</wp:posOffset>
                      </wp:positionV>
                      <wp:extent cx="1609725" cy="1404620"/>
                      <wp:effectExtent l="0" t="0" r="0" b="0"/>
                      <wp:wrapNone/>
                      <wp:docPr id="537591131" name="Text Box 537591131" descr="P186C3T2TB19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2524288" w14:textId="77777777" w:rsidR="00894F38" w:rsidRPr="005701F0" w:rsidRDefault="00894F38" w:rsidP="00E5116D">
                                  <w:pPr>
                                    <w:rPr>
                                      <w:b/>
                                      <w:bCs/>
                                      <w:sz w:val="32"/>
                                      <w:szCs w:val="32"/>
                                    </w:rPr>
                                  </w:pPr>
                                  <w:r>
                                    <w:rPr>
                                      <w:b/>
                                      <w:bCs/>
                                      <w:sz w:val="32"/>
                                      <w:szCs w:val="32"/>
                                    </w:rPr>
                                    <w:t>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656D3" id="Text Box 537591131" o:spid="_x0000_s1027" type="#_x0000_t202" alt="P186C3T2TB19bA#y1" style="position:absolute;margin-left:25.3pt;margin-top:1.5pt;width:126.75pt;height:110.6pt;z-index:2516572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" filled="f">
                      <v:stroke opacity="0"/>
                      <v:textbox style="mso-fit-shape-to-text:t">
                        <w:txbxContent>
                          <w:p w14:paraId="12524288" w14:textId="77777777" w:rsidR="00894F38" w:rsidRPr="005701F0" w:rsidRDefault="00894F38" w:rsidP="00E5116D">
                            <w:pPr>
                              <w:rPr>
                                <w:b/>
                                <w:bCs/>
                                <w:sz w:val="32"/>
                                <w:szCs w:val="32"/>
                              </w:rPr>
                            </w:pPr>
                            <w:r>
                              <w:rPr>
                                <w:b/>
                                <w:bCs/>
                                <w:sz w:val="32"/>
                                <w:szCs w:val="32"/>
                              </w:rPr>
                              <w:t>Partnership</w:t>
                            </w:r>
                          </w:p>
                        </w:txbxContent>
                      </v:textbox>
                    </v:shape>
                  </w:pict>
                </mc:Fallback>
              </mc:AlternateContent>
            </w:r>
            <w:r w:rsidRPr="00E5116D">
              <w:rPr>
                <w:noProof/>
              </w:rPr>
              <w:drawing>
                <wp:anchor distT="0" distB="0" distL="114300" distR="114300" simplePos="0" relativeHeight="251657228" behindDoc="1" locked="0" layoutInCell="1" allowOverlap="1" wp14:anchorId="61B9D04C" wp14:editId="3142CCB1">
                  <wp:simplePos x="0" y="0"/>
                  <wp:positionH relativeFrom="page">
                    <wp:posOffset>746125</wp:posOffset>
                  </wp:positionH>
                  <wp:positionV relativeFrom="page">
                    <wp:posOffset>373380</wp:posOffset>
                  </wp:positionV>
                  <wp:extent cx="685165" cy="659765"/>
                  <wp:effectExtent l="0" t="0" r="635" b="6985"/>
                  <wp:wrapSquare wrapText="bothSides"/>
                  <wp:docPr id="1876155085" name="Graphic 1876155085" descr="P186C3T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55085" name="Graphic 1876155085" descr="P186C3T2#y2">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685165" cy="659765"/>
                          </a:xfrm>
                          <a:prstGeom prst="rect">
                            <a:avLst/>
                          </a:prstGeom>
                        </pic:spPr>
                      </pic:pic>
                    </a:graphicData>
                  </a:graphic>
                  <wp14:sizeRelH relativeFrom="margin">
                    <wp14:pctWidth>0</wp14:pctWidth>
                  </wp14:sizeRelH>
                  <wp14:sizeRelV relativeFrom="margin">
                    <wp14:pctHeight>0</wp14:pctHeight>
                  </wp14:sizeRelV>
                </wp:anchor>
              </w:drawing>
            </w:r>
            <w:r w:rsidRPr="00E5116D">
              <w:rPr>
                <w:noProof/>
              </w:rPr>
              <w:drawing>
                <wp:anchor distT="0" distB="0" distL="114300" distR="114300" simplePos="0" relativeHeight="251657251" behindDoc="1" locked="0" layoutInCell="1" allowOverlap="1" wp14:anchorId="268DF985" wp14:editId="5D2B99B2">
                  <wp:simplePos x="0" y="0"/>
                  <wp:positionH relativeFrom="page">
                    <wp:posOffset>-1905</wp:posOffset>
                  </wp:positionH>
                  <wp:positionV relativeFrom="page">
                    <wp:posOffset>-2540</wp:posOffset>
                  </wp:positionV>
                  <wp:extent cx="1093470" cy="1662430"/>
                  <wp:effectExtent l="0" t="0" r="0" b="0"/>
                  <wp:wrapNone/>
                  <wp:docPr id="515062145" name="Graphic 515062145" descr="P186C3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62145" name="Graphic 515062145" descr="P186C3T2#y1">
                            <a:extLst>
                              <a:ext uri="{C183D7F6-B498-43B3-948B-1728B52AA6E4}">
                                <adec:decorative xmlns:adec="http://schemas.microsoft.com/office/drawing/2017/decorative" val="1"/>
                              </a:ext>
                            </a:extLst>
                          </pic:cNvPr>
                          <pic:cNvPicPr>
                            <a:picLocks noChangeAspect="1"/>
                          </pic:cNvPicPr>
                        </pic:nvPicPr>
                        <pic:blipFill rotWithShape="1">
                          <a:blip r:embed="rId21">
                            <a:extLst>
                              <a:ext uri="{96DAC541-7B7A-43D3-8B79-37D633B846F1}">
                                <asvg:svgBlip xmlns:asvg="http://schemas.microsoft.com/office/drawing/2016/SVG/main" r:embed="rId22"/>
                              </a:ext>
                            </a:extLst>
                          </a:blip>
                          <a:srcRect l="35545" t="25160" r="36552" b="39392"/>
                          <a:stretch/>
                        </pic:blipFill>
                        <pic:spPr>
                          <a:xfrm>
                            <a:off x="0" y="0"/>
                            <a:ext cx="1093470" cy="1662430"/>
                          </a:xfrm>
                          <a:prstGeom prst="rect">
                            <a:avLst/>
                          </a:prstGeom>
                        </pic:spPr>
                      </pic:pic>
                    </a:graphicData>
                  </a:graphic>
                  <wp14:sizeRelH relativeFrom="margin">
                    <wp14:pctWidth>0</wp14:pctWidth>
                  </wp14:sizeRelH>
                  <wp14:sizeRelV relativeFrom="margin">
                    <wp14:pctHeight>0</wp14:pctHeight>
                  </wp14:sizeRelV>
                </wp:anchor>
              </w:drawing>
            </w:r>
            <w:r w:rsidRPr="00E5116D">
              <w:rPr>
                <w:rFonts w:cs="Arial"/>
                <w:b/>
                <w:bCs/>
                <w:color w:val="000000" w:themeColor="text1"/>
                <w:sz w:val="30"/>
                <w:szCs w:val="30"/>
                <w:highlight w:val="white"/>
              </w:rPr>
              <w:t xml:space="preserve"> </w:t>
            </w:r>
          </w:p>
          <w:p w14:paraId="446D67DA" w14:textId="77777777" w:rsidR="00E5116D" w:rsidRPr="00E5116D" w:rsidRDefault="00E5116D" w:rsidP="00E5116D">
            <w:pPr>
              <w:rPr>
                <w:rFonts w:cs="Arial"/>
                <w:b/>
                <w:bCs/>
                <w:color w:val="000000" w:themeColor="text1"/>
                <w:sz w:val="30"/>
                <w:szCs w:val="30"/>
                <w:highlight w:val="white"/>
              </w:rPr>
            </w:pPr>
          </w:p>
        </w:tc>
        <w:tc>
          <w:tcPr>
            <w:tcW w:w="6272" w:type="dxa"/>
          </w:tcPr>
          <w:p w14:paraId="072E0A76" w14:textId="53C8FF1C" w:rsidR="00F01522" w:rsidRPr="003F5976" w:rsidRDefault="00E5116D" w:rsidP="00D15C77">
            <w:pPr>
              <w:spacing w:after="120"/>
              <w:jc w:val="both"/>
              <w:rPr>
                <w:rFonts w:cs="Arial"/>
                <w:color w:val="000000" w:themeColor="text1"/>
                <w:sz w:val="22"/>
                <w:szCs w:val="22"/>
                <w:highlight w:val="white"/>
              </w:rPr>
            </w:pPr>
            <w:r w:rsidRPr="00E5116D">
              <w:rPr>
                <w:rFonts w:cs="Arial"/>
                <w:color w:val="000000" w:themeColor="text1"/>
                <w:sz w:val="22"/>
                <w:szCs w:val="22"/>
                <w:highlight w:val="white"/>
                <w:lang w:val="en-US"/>
              </w:rPr>
              <w:t xml:space="preserve">Partnership is at the heart of Australia’s response to STI. </w:t>
            </w:r>
            <w:r w:rsidRPr="00E5116D">
              <w:rPr>
                <w:rFonts w:cs="Arial"/>
                <w:color w:val="000000" w:themeColor="text1"/>
                <w:sz w:val="22"/>
                <w:szCs w:val="22"/>
                <w:highlight w:val="white"/>
              </w:rPr>
              <w:t xml:space="preserve">Meaningful </w:t>
            </w:r>
            <w:r w:rsidR="59D2D1E9" w:rsidRPr="7911FC7E">
              <w:rPr>
                <w:rFonts w:cs="Arial"/>
                <w:color w:val="000000" w:themeColor="text1"/>
                <w:sz w:val="22"/>
                <w:szCs w:val="22"/>
                <w:highlight w:val="white"/>
              </w:rPr>
              <w:t>partnership</w:t>
            </w:r>
            <w:r w:rsidR="33B6BA6E" w:rsidRPr="7911FC7E">
              <w:rPr>
                <w:rFonts w:cs="Arial"/>
                <w:color w:val="000000" w:themeColor="text1"/>
                <w:sz w:val="22"/>
                <w:szCs w:val="22"/>
                <w:highlight w:val="white"/>
              </w:rPr>
              <w:t>s</w:t>
            </w:r>
            <w:r w:rsidRPr="00E5116D">
              <w:rPr>
                <w:rFonts w:cs="Arial"/>
                <w:color w:val="000000" w:themeColor="text1"/>
                <w:sz w:val="22"/>
                <w:szCs w:val="22"/>
                <w:highlight w:val="white"/>
              </w:rPr>
              <w:t xml:space="preserve"> with priority populations in all aspects of the BBV and STI response is essential to the co-design, development, implementation, monitoring and evaluation of effective programs and policies. The diversity and specific needs of priority populations must be recognised and responded to effectively, considering </w:t>
            </w:r>
            <w:r w:rsidR="000F19AA">
              <w:rPr>
                <w:rFonts w:cs="Arial"/>
                <w:color w:val="000000" w:themeColor="text1"/>
                <w:sz w:val="22"/>
                <w:szCs w:val="22"/>
                <w:highlight w:val="white"/>
              </w:rPr>
              <w:t xml:space="preserve">the </w:t>
            </w:r>
            <w:r w:rsidRPr="00E5116D">
              <w:rPr>
                <w:rFonts w:cs="Arial"/>
                <w:color w:val="000000" w:themeColor="text1"/>
                <w:sz w:val="22"/>
                <w:szCs w:val="22"/>
                <w:highlight w:val="white"/>
              </w:rPr>
              <w:t>settings and the needs of communities. This approach increases the effectiveness and appropriateness of the BBV and STI response.</w:t>
            </w:r>
          </w:p>
          <w:p w14:paraId="136904E7" w14:textId="38EDA378" w:rsidR="00E5116D" w:rsidRPr="00774FCB" w:rsidRDefault="00E5116D" w:rsidP="00D15C77">
            <w:pPr>
              <w:spacing w:after="120"/>
              <w:jc w:val="both"/>
              <w:rPr>
                <w:rFonts w:cs="Arial"/>
                <w:color w:val="000000" w:themeColor="text1"/>
                <w:sz w:val="22"/>
                <w:szCs w:val="22"/>
                <w:highlight w:val="white"/>
              </w:rPr>
            </w:pPr>
            <w:r w:rsidRPr="00E5116D">
              <w:rPr>
                <w:rFonts w:cs="Arial"/>
                <w:color w:val="000000" w:themeColor="text1"/>
                <w:sz w:val="22"/>
                <w:szCs w:val="22"/>
                <w:highlight w:val="white"/>
                <w:lang w:val="en-US"/>
              </w:rPr>
              <w:t>Communities and civil society also make pivotal contributions to advocacy, service delivery, policy making, surveillance and monitoring, evaluation, and initiatives to address social and structural barriers. This enables the de</w:t>
            </w:r>
            <w:r w:rsidR="001003BD">
              <w:rPr>
                <w:rFonts w:cs="Arial"/>
                <w:color w:val="000000" w:themeColor="text1"/>
                <w:sz w:val="22"/>
                <w:szCs w:val="22"/>
                <w:highlight w:val="white"/>
                <w:lang w:val="en-US"/>
              </w:rPr>
              <w:t>-</w:t>
            </w:r>
            <w:r w:rsidRPr="001003BD">
              <w:rPr>
                <w:rFonts w:cs="Arial"/>
                <w:color w:val="000000" w:themeColor="text1"/>
                <w:sz w:val="22"/>
                <w:szCs w:val="22"/>
                <w:highlight w:val="white"/>
              </w:rPr>
              <w:t>centralisation</w:t>
            </w:r>
            <w:r w:rsidRPr="00E5116D">
              <w:rPr>
                <w:rFonts w:cs="Arial"/>
                <w:color w:val="000000" w:themeColor="text1"/>
                <w:sz w:val="22"/>
                <w:szCs w:val="22"/>
                <w:highlight w:val="white"/>
                <w:lang w:val="en-US"/>
              </w:rPr>
              <w:t xml:space="preserve"> of Australia’s response</w:t>
            </w:r>
            <w:r w:rsidR="003A7EA4">
              <w:rPr>
                <w:rFonts w:cs="Arial"/>
                <w:color w:val="000000" w:themeColor="text1"/>
                <w:sz w:val="22"/>
                <w:szCs w:val="22"/>
                <w:highlight w:val="white"/>
                <w:lang w:val="en-US"/>
              </w:rPr>
              <w:t xml:space="preserve"> and allows</w:t>
            </w:r>
            <w:r w:rsidRPr="00E5116D">
              <w:rPr>
                <w:rFonts w:cs="Arial"/>
                <w:color w:val="000000" w:themeColor="text1"/>
                <w:sz w:val="22"/>
                <w:szCs w:val="22"/>
                <w:highlight w:val="white"/>
                <w:lang w:val="en-US"/>
              </w:rPr>
              <w:t xml:space="preserve"> decision-making, service delivery and initiatives which relate to this Strategy </w:t>
            </w:r>
            <w:r w:rsidR="003A7EA4">
              <w:rPr>
                <w:rFonts w:cs="Arial"/>
                <w:color w:val="000000" w:themeColor="text1"/>
                <w:sz w:val="22"/>
                <w:szCs w:val="22"/>
                <w:highlight w:val="white"/>
                <w:lang w:val="en-US"/>
              </w:rPr>
              <w:t>to be</w:t>
            </w:r>
            <w:r w:rsidRPr="00E5116D">
              <w:rPr>
                <w:rFonts w:cs="Arial"/>
                <w:color w:val="000000" w:themeColor="text1"/>
                <w:sz w:val="22"/>
                <w:szCs w:val="22"/>
                <w:highlight w:val="white"/>
                <w:lang w:val="en-US"/>
              </w:rPr>
              <w:t xml:space="preserve"> shifted into community settings and feature community leadership.</w:t>
            </w:r>
          </w:p>
          <w:p w14:paraId="3EEDCF5C" w14:textId="77777777" w:rsidR="00E5116D" w:rsidRPr="00E5116D" w:rsidRDefault="00E5116D" w:rsidP="00E5116D">
            <w:pPr>
              <w:rPr>
                <w:rFonts w:cs="Arial"/>
                <w:color w:val="000000" w:themeColor="text1"/>
                <w:sz w:val="22"/>
                <w:szCs w:val="22"/>
                <w:highlight w:val="white"/>
              </w:rPr>
            </w:pPr>
          </w:p>
        </w:tc>
      </w:tr>
      <w:tr w:rsidR="00E5116D" w:rsidRPr="00E5116D" w14:paraId="7CAE33B9" w14:textId="77777777" w:rsidTr="00560122">
        <w:trPr>
          <w:cantSplit/>
          <w:trHeight w:val="414"/>
        </w:trPr>
        <w:tc>
          <w:tcPr>
            <w:tcW w:w="3360" w:type="dxa"/>
          </w:tcPr>
          <w:p w14:paraId="53301DA2" w14:textId="77777777" w:rsidR="00E5116D" w:rsidRPr="00E5116D" w:rsidRDefault="00E5116D" w:rsidP="00E5116D">
            <w:pPr>
              <w:rPr>
                <w:rFonts w:cs="Arial"/>
                <w:b/>
                <w:bCs/>
                <w:color w:val="000000" w:themeColor="text1"/>
                <w:sz w:val="30"/>
                <w:szCs w:val="30"/>
                <w:highlight w:val="white"/>
              </w:rPr>
            </w:pPr>
            <w:r w:rsidRPr="00E5116D">
              <w:rPr>
                <w:noProof/>
              </w:rPr>
              <mc:AlternateContent>
                <mc:Choice Requires="wps">
                  <w:drawing>
                    <wp:anchor distT="0" distB="0" distL="114300" distR="114300" simplePos="0" relativeHeight="251657238" behindDoc="0" locked="0" layoutInCell="1" allowOverlap="1" wp14:anchorId="2CA36B20" wp14:editId="185EFC5C">
                      <wp:simplePos x="0" y="0"/>
                      <wp:positionH relativeFrom="page">
                        <wp:posOffset>2540</wp:posOffset>
                      </wp:positionH>
                      <wp:positionV relativeFrom="page">
                        <wp:posOffset>0</wp:posOffset>
                      </wp:positionV>
                      <wp:extent cx="143510" cy="902335"/>
                      <wp:effectExtent l="0" t="0" r="8890" b="0"/>
                      <wp:wrapSquare wrapText="bothSides"/>
                      <wp:docPr id="657122302" name="Rectangle 657122302" descr="P192C5T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902335"/>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1CE7" id="Rectangle 657122302" o:spid="_x0000_s1026" alt="P192C5T2#y2" style="position:absolute;margin-left:.2pt;margin-top:0;width:11.3pt;height:71.05pt;z-index:251657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" fillcolor="#f7941d" stroked="f" strokeweight="1pt">
                      <w10:wrap type="square" anchorx="page" anchory="page"/>
                    </v:rect>
                  </w:pict>
                </mc:Fallback>
              </mc:AlternateContent>
            </w:r>
            <w:r w:rsidRPr="00E5116D">
              <w:rPr>
                <w:noProof/>
              </w:rPr>
              <w:drawing>
                <wp:anchor distT="0" distB="0" distL="114300" distR="114300" simplePos="0" relativeHeight="251657252" behindDoc="1" locked="0" layoutInCell="1" allowOverlap="1" wp14:anchorId="132EBF1E" wp14:editId="0F042513">
                  <wp:simplePos x="0" y="0"/>
                  <wp:positionH relativeFrom="page">
                    <wp:posOffset>842645</wp:posOffset>
                  </wp:positionH>
                  <wp:positionV relativeFrom="page">
                    <wp:posOffset>474980</wp:posOffset>
                  </wp:positionV>
                  <wp:extent cx="647700" cy="375285"/>
                  <wp:effectExtent l="0" t="0" r="0" b="5715"/>
                  <wp:wrapSquare wrapText="bothSides"/>
                  <wp:docPr id="1817283119" name="Graphic 1817283119" descr="P192C5T2#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83119" name="Graphic 1817283119" descr="P192C5T2#y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647700" cy="375285"/>
                          </a:xfrm>
                          <a:prstGeom prst="rect">
                            <a:avLst/>
                          </a:prstGeom>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0" behindDoc="0" locked="0" layoutInCell="1" allowOverlap="1" wp14:anchorId="11DF1127" wp14:editId="24271AB4">
                      <wp:simplePos x="0" y="0"/>
                      <wp:positionH relativeFrom="column">
                        <wp:posOffset>388620</wp:posOffset>
                      </wp:positionH>
                      <wp:positionV relativeFrom="paragraph">
                        <wp:posOffset>43815</wp:posOffset>
                      </wp:positionV>
                      <wp:extent cx="1609725" cy="1404620"/>
                      <wp:effectExtent l="0" t="0" r="0" b="0"/>
                      <wp:wrapSquare wrapText="bothSides"/>
                      <wp:docPr id="540537119" name="Text Box 540537119" descr="P192C5T2TB20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8CF1014" w14:textId="77777777" w:rsidR="00894F38" w:rsidRPr="005701F0" w:rsidRDefault="00894F38" w:rsidP="00E5116D">
                                  <w:pPr>
                                    <w:rPr>
                                      <w:b/>
                                      <w:bCs/>
                                      <w:sz w:val="32"/>
                                      <w:szCs w:val="32"/>
                                    </w:rPr>
                                  </w:pPr>
                                  <w:r>
                                    <w:rPr>
                                      <w:b/>
                                      <w:bCs/>
                                      <w:sz w:val="32"/>
                                      <w:szCs w:val="32"/>
                                    </w:rPr>
                                    <w:t>Human rights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F1127" id="Text Box 540537119" o:spid="_x0000_s1028" type="#_x0000_t202" alt="P192C5T2TB20bA#y1" style="position:absolute;margin-left:30.6pt;margin-top:3.45pt;width:126.75pt;height:110.6pt;z-index:2516572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" filled="f">
                      <v:stroke opacity="0"/>
                      <v:textbox style="mso-fit-shape-to-text:t">
                        <w:txbxContent>
                          <w:p w14:paraId="78CF1014" w14:textId="77777777" w:rsidR="00894F38" w:rsidRPr="005701F0" w:rsidRDefault="00894F38" w:rsidP="00E5116D">
                            <w:pPr>
                              <w:rPr>
                                <w:b/>
                                <w:bCs/>
                                <w:sz w:val="32"/>
                                <w:szCs w:val="32"/>
                              </w:rPr>
                            </w:pPr>
                            <w:r>
                              <w:rPr>
                                <w:b/>
                                <w:bCs/>
                                <w:sz w:val="32"/>
                                <w:szCs w:val="32"/>
                              </w:rPr>
                              <w:t>Human rights</w:t>
                            </w:r>
                          </w:p>
                        </w:txbxContent>
                      </v:textbox>
                      <w10:wrap type="square"/>
                    </v:shape>
                  </w:pict>
                </mc:Fallback>
              </mc:AlternateContent>
            </w:r>
            <w:r w:rsidRPr="00E5116D">
              <w:rPr>
                <w:rFonts w:cs="Arial"/>
                <w:b/>
                <w:bCs/>
                <w:noProof/>
                <w:color w:val="000000" w:themeColor="text1"/>
                <w:sz w:val="30"/>
                <w:szCs w:val="30"/>
                <w:highlight w:val="white"/>
              </w:rPr>
              <w:t xml:space="preserve"> </w:t>
            </w:r>
            <w:r w:rsidRPr="00E5116D">
              <w:rPr>
                <w:noProof/>
              </w:rPr>
              <w:drawing>
                <wp:anchor distT="0" distB="0" distL="114300" distR="114300" simplePos="0" relativeHeight="251657253" behindDoc="1" locked="0" layoutInCell="1" allowOverlap="1" wp14:anchorId="1A23CD5F" wp14:editId="2D23CE5C">
                  <wp:simplePos x="0" y="0"/>
                  <wp:positionH relativeFrom="page">
                    <wp:posOffset>-1905</wp:posOffset>
                  </wp:positionH>
                  <wp:positionV relativeFrom="page">
                    <wp:posOffset>4445</wp:posOffset>
                  </wp:positionV>
                  <wp:extent cx="1179830" cy="1663065"/>
                  <wp:effectExtent l="0" t="0" r="1270" b="0"/>
                  <wp:wrapNone/>
                  <wp:docPr id="91" name="Graphic 91" descr="P192C5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 91" descr="P192C5T2#y1">
                            <a:extLst>
                              <a:ext uri="{C183D7F6-B498-43B3-948B-1728B52AA6E4}">
                                <adec:decorative xmlns:adec="http://schemas.microsoft.com/office/drawing/2017/decorative" val="1"/>
                              </a:ext>
                            </a:extLst>
                          </pic:cNvPr>
                          <pic:cNvPicPr>
                            <a:picLocks noChangeAspect="1"/>
                          </pic:cNvPicPr>
                        </pic:nvPicPr>
                        <pic:blipFill rotWithShape="1">
                          <a:blip r:embed="rId25">
                            <a:extLst>
                              <a:ext uri="{96DAC541-7B7A-43D3-8B79-37D633B846F1}">
                                <asvg:svgBlip xmlns:asvg="http://schemas.microsoft.com/office/drawing/2016/SVG/main" r:embed="rId26"/>
                              </a:ext>
                            </a:extLst>
                          </a:blip>
                          <a:srcRect l="36150" t="25843" r="35477" b="38359"/>
                          <a:stretch/>
                        </pic:blipFill>
                        <pic:spPr>
                          <a:xfrm>
                            <a:off x="0" y="0"/>
                            <a:ext cx="1179830" cy="1663065"/>
                          </a:xfrm>
                          <a:prstGeom prst="rect">
                            <a:avLst/>
                          </a:prstGeom>
                        </pic:spPr>
                      </pic:pic>
                    </a:graphicData>
                  </a:graphic>
                  <wp14:sizeRelH relativeFrom="margin">
                    <wp14:pctWidth>0</wp14:pctWidth>
                  </wp14:sizeRelH>
                  <wp14:sizeRelV relativeFrom="margin">
                    <wp14:pctHeight>0</wp14:pctHeight>
                  </wp14:sizeRelV>
                </wp:anchor>
              </w:drawing>
            </w:r>
          </w:p>
        </w:tc>
        <w:tc>
          <w:tcPr>
            <w:tcW w:w="6272" w:type="dxa"/>
          </w:tcPr>
          <w:p w14:paraId="77EDA98A" w14:textId="0FA50445" w:rsidR="00E5116D" w:rsidRPr="00E5116D" w:rsidRDefault="00E5116D" w:rsidP="00D15C77">
            <w:pPr>
              <w:spacing w:after="120"/>
              <w:jc w:val="both"/>
              <w:rPr>
                <w:rFonts w:cs="Arial"/>
                <w:color w:val="000000" w:themeColor="text1"/>
                <w:sz w:val="22"/>
                <w:szCs w:val="22"/>
                <w:highlight w:val="white"/>
              </w:rPr>
            </w:pPr>
            <w:r w:rsidRPr="00E5116D">
              <w:rPr>
                <w:rFonts w:cs="Arial"/>
                <w:color w:val="000000" w:themeColor="text1"/>
                <w:sz w:val="22"/>
                <w:szCs w:val="22"/>
                <w:highlight w:val="white"/>
              </w:rPr>
              <w:t xml:space="preserve">Australia recognises that valuing and upholding human rights for all is essential to preventing the transmission of STI and mitigating the health, social and other impacts of </w:t>
            </w:r>
            <w:r w:rsidR="59D2D1E9" w:rsidRPr="7911FC7E">
              <w:rPr>
                <w:rFonts w:cs="Arial"/>
                <w:color w:val="000000" w:themeColor="text1"/>
                <w:sz w:val="22"/>
                <w:szCs w:val="22"/>
                <w:highlight w:val="white"/>
              </w:rPr>
              <w:t>disease</w:t>
            </w:r>
            <w:r w:rsidR="1685F609" w:rsidRPr="7911FC7E">
              <w:rPr>
                <w:rFonts w:cs="Arial"/>
                <w:color w:val="000000" w:themeColor="text1"/>
                <w:sz w:val="22"/>
                <w:szCs w:val="22"/>
                <w:highlight w:val="white"/>
              </w:rPr>
              <w:t>s</w:t>
            </w:r>
            <w:r w:rsidR="59D2D1E9" w:rsidRPr="7911FC7E">
              <w:rPr>
                <w:rFonts w:cs="Arial"/>
                <w:color w:val="000000" w:themeColor="text1"/>
                <w:sz w:val="22"/>
                <w:szCs w:val="22"/>
                <w:highlight w:val="white"/>
              </w:rPr>
              <w:t>.</w:t>
            </w:r>
            <w:r w:rsidRPr="00E5116D">
              <w:rPr>
                <w:rFonts w:cs="Arial"/>
                <w:color w:val="000000" w:themeColor="text1"/>
                <w:sz w:val="22"/>
                <w:szCs w:val="22"/>
                <w:highlight w:val="white"/>
              </w:rPr>
              <w:t xml:space="preserve"> People affected by STI have the right to enjoy the highest attainable standard of living, without stigma or discrimination regardless of their culture, ethnicity, language, age, sex, sexual orientation</w:t>
            </w:r>
            <w:r w:rsidR="00BE0568">
              <w:rPr>
                <w:rFonts w:cs="Arial"/>
                <w:color w:val="000000" w:themeColor="text1"/>
                <w:sz w:val="22"/>
                <w:szCs w:val="22"/>
                <w:highlight w:val="white"/>
              </w:rPr>
              <w:t>,</w:t>
            </w:r>
            <w:r w:rsidRPr="00E5116D">
              <w:rPr>
                <w:rFonts w:cs="Arial"/>
                <w:color w:val="000000" w:themeColor="text1"/>
                <w:sz w:val="22"/>
                <w:szCs w:val="22"/>
                <w:highlight w:val="white"/>
              </w:rPr>
              <w:t xml:space="preserve"> gender identity, disability status, legal status, religion, sex work or drug use.</w:t>
            </w:r>
          </w:p>
          <w:p w14:paraId="738DFD3A" w14:textId="48A17E18" w:rsidR="00E5116D" w:rsidRPr="00E5116D" w:rsidRDefault="00E5116D" w:rsidP="00D15C77">
            <w:pPr>
              <w:spacing w:after="120"/>
              <w:jc w:val="both"/>
              <w:rPr>
                <w:rFonts w:cs="Arial"/>
                <w:color w:val="000000" w:themeColor="text1"/>
                <w:sz w:val="22"/>
                <w:szCs w:val="22"/>
                <w:highlight w:val="white"/>
                <w:vertAlign w:val="superscript"/>
                <w:lang w:val="en-US"/>
              </w:rPr>
            </w:pPr>
            <w:r w:rsidRPr="00E5116D">
              <w:rPr>
                <w:rFonts w:cs="Arial"/>
                <w:color w:val="000000" w:themeColor="text1"/>
                <w:sz w:val="22"/>
                <w:szCs w:val="22"/>
                <w:highlight w:val="white"/>
                <w:lang w:val="en-US"/>
              </w:rPr>
              <w:t xml:space="preserve">Australia's response to STI must work to tackle racism. This work must be done in the context of upholding the rights of </w:t>
            </w:r>
            <w:r w:rsidR="009E5590" w:rsidRPr="009E5590">
              <w:rPr>
                <w:rFonts w:cs="Arial"/>
                <w:color w:val="000000" w:themeColor="text1"/>
                <w:sz w:val="22"/>
                <w:szCs w:val="22"/>
                <w:lang w:val="en-US"/>
              </w:rPr>
              <w:t>Aboriginal and Torres Strait Islander</w:t>
            </w:r>
            <w:r w:rsidRPr="00E5116D" w:rsidDel="009E5590">
              <w:rPr>
                <w:rFonts w:cs="Arial"/>
                <w:color w:val="000000" w:themeColor="text1"/>
                <w:sz w:val="22"/>
                <w:szCs w:val="22"/>
                <w:highlight w:val="white"/>
                <w:lang w:val="en-US"/>
              </w:rPr>
              <w:t xml:space="preserve"> </w:t>
            </w:r>
            <w:r w:rsidRPr="00E5116D">
              <w:rPr>
                <w:rFonts w:cs="Arial"/>
                <w:color w:val="000000" w:themeColor="text1"/>
                <w:sz w:val="22"/>
                <w:szCs w:val="22"/>
                <w:highlight w:val="white"/>
                <w:lang w:val="en-US"/>
              </w:rPr>
              <w:t>people as enshrined in the United Nations Declaration on the Rights of Indigenous Peoples.</w:t>
            </w:r>
          </w:p>
          <w:p w14:paraId="2938A211" w14:textId="77777777" w:rsidR="00E5116D" w:rsidRPr="00E5116D" w:rsidRDefault="00E5116D" w:rsidP="00E5116D">
            <w:pPr>
              <w:rPr>
                <w:rFonts w:cs="Arial"/>
                <w:b/>
                <w:bCs/>
                <w:color w:val="000000" w:themeColor="text1"/>
                <w:sz w:val="30"/>
                <w:szCs w:val="30"/>
                <w:highlight w:val="white"/>
                <w:lang w:val="en-US"/>
              </w:rPr>
            </w:pPr>
          </w:p>
        </w:tc>
      </w:tr>
      <w:tr w:rsidR="00E5116D" w:rsidRPr="00E5116D" w14:paraId="6D7DEC74" w14:textId="77777777" w:rsidTr="00560122">
        <w:trPr>
          <w:cantSplit/>
          <w:trHeight w:val="414"/>
        </w:trPr>
        <w:tc>
          <w:tcPr>
            <w:tcW w:w="3360" w:type="dxa"/>
          </w:tcPr>
          <w:p w14:paraId="42034056" w14:textId="77777777" w:rsidR="00E5116D" w:rsidRPr="00E5116D" w:rsidRDefault="00E5116D" w:rsidP="00E5116D">
            <w:pPr>
              <w:rPr>
                <w:rFonts w:cs="Arial"/>
                <w:b/>
                <w:bCs/>
                <w:color w:val="000000" w:themeColor="text1"/>
                <w:sz w:val="30"/>
                <w:szCs w:val="30"/>
                <w:highlight w:val="white"/>
              </w:rPr>
            </w:pPr>
            <w:r w:rsidRPr="00E5116D">
              <w:rPr>
                <w:noProof/>
              </w:rPr>
              <w:lastRenderedPageBreak/>
              <mc:AlternateContent>
                <mc:Choice Requires="wps">
                  <w:drawing>
                    <wp:anchor distT="0" distB="0" distL="114300" distR="114300" simplePos="0" relativeHeight="251657239" behindDoc="0" locked="0" layoutInCell="1" allowOverlap="1" wp14:anchorId="5DDBA1B2" wp14:editId="5E306F36">
                      <wp:simplePos x="0" y="0"/>
                      <wp:positionH relativeFrom="page">
                        <wp:posOffset>2540</wp:posOffset>
                      </wp:positionH>
                      <wp:positionV relativeFrom="page">
                        <wp:posOffset>0</wp:posOffset>
                      </wp:positionV>
                      <wp:extent cx="143510" cy="961390"/>
                      <wp:effectExtent l="0" t="0" r="8890" b="0"/>
                      <wp:wrapSquare wrapText="bothSides"/>
                      <wp:docPr id="1946991877" name="Rectangle 1946991877" descr="P197C7T2#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961390"/>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B904A" id="Rectangle 1946991877" o:spid="_x0000_s1026" alt="P197C7T2#y3" style="position:absolute;margin-left:.2pt;margin-top:0;width:11.3pt;height:75.7pt;z-index:251657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" fillcolor="#f7941d" stroked="f" strokeweight="1pt">
                      <w10:wrap type="square" anchorx="page" anchory="page"/>
                    </v:rect>
                  </w:pict>
                </mc:Fallback>
              </mc:AlternateContent>
            </w:r>
            <w:r w:rsidRPr="00E5116D">
              <w:rPr>
                <w:noProof/>
              </w:rPr>
              <w:drawing>
                <wp:anchor distT="0" distB="0" distL="114300" distR="114300" simplePos="0" relativeHeight="251657229" behindDoc="1" locked="0" layoutInCell="1" allowOverlap="1" wp14:anchorId="518805AA" wp14:editId="03275EC3">
                  <wp:simplePos x="0" y="0"/>
                  <wp:positionH relativeFrom="page">
                    <wp:posOffset>858520</wp:posOffset>
                  </wp:positionH>
                  <wp:positionV relativeFrom="page">
                    <wp:posOffset>375285</wp:posOffset>
                  </wp:positionV>
                  <wp:extent cx="647700" cy="495935"/>
                  <wp:effectExtent l="0" t="0" r="0" b="0"/>
                  <wp:wrapSquare wrapText="bothSides"/>
                  <wp:docPr id="666169602" name="Graphic 666169602" descr="P197C7T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69602" name="Graphic 666169602" descr="P197C7T2#y2">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647700" cy="495935"/>
                          </a:xfrm>
                          <a:prstGeom prst="rect">
                            <a:avLst/>
                          </a:prstGeom>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1" behindDoc="0" locked="0" layoutInCell="1" allowOverlap="1" wp14:anchorId="56376CB7" wp14:editId="2E3925B2">
                      <wp:simplePos x="0" y="0"/>
                      <wp:positionH relativeFrom="column">
                        <wp:posOffset>435610</wp:posOffset>
                      </wp:positionH>
                      <wp:positionV relativeFrom="paragraph">
                        <wp:posOffset>9937</wp:posOffset>
                      </wp:positionV>
                      <wp:extent cx="1609725" cy="1404620"/>
                      <wp:effectExtent l="0" t="0" r="0" b="0"/>
                      <wp:wrapSquare wrapText="bothSides"/>
                      <wp:docPr id="1819363313" name="Text Box 1819363313" descr="P197C7T2TB21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AA8C3B4" w14:textId="77777777" w:rsidR="00894F38" w:rsidRPr="005701F0" w:rsidRDefault="00894F38" w:rsidP="00E5116D">
                                  <w:pPr>
                                    <w:rPr>
                                      <w:b/>
                                      <w:bCs/>
                                      <w:sz w:val="32"/>
                                      <w:szCs w:val="32"/>
                                    </w:rPr>
                                  </w:pPr>
                                  <w:r>
                                    <w:rPr>
                                      <w:b/>
                                      <w:bCs/>
                                      <w:sz w:val="32"/>
                                      <w:szCs w:val="32"/>
                                    </w:rPr>
                                    <w:t>Health equity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76CB7" id="Text Box 1819363313" o:spid="_x0000_s1029" type="#_x0000_t202" alt="P197C7T2TB21bA#y1" style="position:absolute;margin-left:34.3pt;margin-top:.8pt;width:126.75pt;height:110.6pt;z-index:2516572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" filled="f">
                      <v:stroke opacity="0"/>
                      <v:textbox style="mso-fit-shape-to-text:t">
                        <w:txbxContent>
                          <w:p w14:paraId="3AA8C3B4" w14:textId="77777777" w:rsidR="00894F38" w:rsidRPr="005701F0" w:rsidRDefault="00894F38" w:rsidP="00E5116D">
                            <w:pPr>
                              <w:rPr>
                                <w:b/>
                                <w:bCs/>
                                <w:sz w:val="32"/>
                                <w:szCs w:val="32"/>
                              </w:rPr>
                            </w:pPr>
                            <w:r>
                              <w:rPr>
                                <w:b/>
                                <w:bCs/>
                                <w:sz w:val="32"/>
                                <w:szCs w:val="32"/>
                              </w:rPr>
                              <w:t>Health equity</w:t>
                            </w:r>
                          </w:p>
                        </w:txbxContent>
                      </v:textbox>
                      <w10:wrap type="square"/>
                    </v:shape>
                  </w:pict>
                </mc:Fallback>
              </mc:AlternateContent>
            </w:r>
            <w:r w:rsidRPr="00E5116D">
              <w:rPr>
                <w:noProof/>
              </w:rPr>
              <w:drawing>
                <wp:anchor distT="0" distB="0" distL="114300" distR="114300" simplePos="0" relativeHeight="251657254" behindDoc="1" locked="0" layoutInCell="1" allowOverlap="1" wp14:anchorId="233BD704" wp14:editId="51B06AA6">
                  <wp:simplePos x="0" y="0"/>
                  <wp:positionH relativeFrom="page">
                    <wp:posOffset>8890</wp:posOffset>
                  </wp:positionH>
                  <wp:positionV relativeFrom="page">
                    <wp:posOffset>-3810</wp:posOffset>
                  </wp:positionV>
                  <wp:extent cx="1189355" cy="1567815"/>
                  <wp:effectExtent l="0" t="0" r="0" b="0"/>
                  <wp:wrapNone/>
                  <wp:docPr id="82" name="Graphic 82" descr="P197C7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P197C7T2#y1">
                            <a:extLst>
                              <a:ext uri="{C183D7F6-B498-43B3-948B-1728B52AA6E4}">
                                <adec:decorative xmlns:adec="http://schemas.microsoft.com/office/drawing/2017/decorative" val="1"/>
                              </a:ext>
                            </a:extLst>
                          </pic:cNvPr>
                          <pic:cNvPicPr>
                            <a:picLocks noChangeAspect="1"/>
                          </pic:cNvPicPr>
                        </pic:nvPicPr>
                        <pic:blipFill rotWithShape="1">
                          <a:blip r:embed="rId29">
                            <a:extLst>
                              <a:ext uri="{96DAC541-7B7A-43D3-8B79-37D633B846F1}">
                                <asvg:svgBlip xmlns:asvg="http://schemas.microsoft.com/office/drawing/2016/SVG/main" r:embed="rId30"/>
                              </a:ext>
                            </a:extLst>
                          </a:blip>
                          <a:srcRect l="34323" t="26333" r="52916" b="41120"/>
                          <a:stretch/>
                        </pic:blipFill>
                        <pic:spPr bwMode="auto">
                          <a:xfrm>
                            <a:off x="0" y="0"/>
                            <a:ext cx="1189355" cy="156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w:t xml:space="preserve"> </w:t>
            </w:r>
          </w:p>
        </w:tc>
        <w:tc>
          <w:tcPr>
            <w:tcW w:w="6272" w:type="dxa"/>
          </w:tcPr>
          <w:p w14:paraId="11C7EE19" w14:textId="068897EA" w:rsidR="00E5116D" w:rsidRPr="00E5116D" w:rsidRDefault="00E5116D" w:rsidP="00D15C77">
            <w:pPr>
              <w:spacing w:after="120"/>
              <w:jc w:val="both"/>
              <w:rPr>
                <w:rFonts w:cs="Arial"/>
                <w:color w:val="000000" w:themeColor="text1"/>
                <w:sz w:val="22"/>
                <w:szCs w:val="22"/>
                <w:highlight w:val="white"/>
                <w:lang w:val="en-US"/>
              </w:rPr>
            </w:pPr>
            <w:r w:rsidRPr="00E5116D">
              <w:rPr>
                <w:rFonts w:cs="Arial"/>
                <w:color w:val="000000" w:themeColor="text1"/>
                <w:sz w:val="22"/>
                <w:szCs w:val="22"/>
                <w:highlight w:val="white"/>
                <w:lang w:val="en-US"/>
              </w:rPr>
              <w:t>The goals of the Strategy will not be achieved without addressing the inequities that drive STI and prevent people from accessing health services and being active in improving their own health. Additional efforts are needed to improve equity for people from culturally, ethnically</w:t>
            </w:r>
            <w:r w:rsidR="00836D33">
              <w:rPr>
                <w:rFonts w:cs="Arial"/>
                <w:color w:val="000000" w:themeColor="text1"/>
                <w:sz w:val="22"/>
                <w:szCs w:val="22"/>
                <w:highlight w:val="white"/>
                <w:lang w:val="en-US"/>
              </w:rPr>
              <w:t>,</w:t>
            </w:r>
            <w:r w:rsidRPr="00E5116D">
              <w:rPr>
                <w:rFonts w:cs="Arial"/>
                <w:color w:val="000000" w:themeColor="text1"/>
                <w:sz w:val="22"/>
                <w:szCs w:val="22"/>
                <w:highlight w:val="white"/>
                <w:lang w:val="en-US"/>
              </w:rPr>
              <w:t xml:space="preserve"> and linguistically diverse communities and </w:t>
            </w:r>
            <w:r w:rsidR="009E5590" w:rsidRPr="009E5590">
              <w:rPr>
                <w:rFonts w:cs="Arial"/>
                <w:color w:val="000000" w:themeColor="text1"/>
                <w:sz w:val="22"/>
                <w:szCs w:val="22"/>
                <w:lang w:val="en-US"/>
              </w:rPr>
              <w:t>Aboriginal and Torres Strait Islander</w:t>
            </w:r>
            <w:r w:rsidR="00DA3549">
              <w:rPr>
                <w:rFonts w:cs="Arial"/>
                <w:color w:val="000000" w:themeColor="text1"/>
                <w:sz w:val="22"/>
                <w:szCs w:val="22"/>
                <w:highlight w:val="white"/>
                <w:lang w:val="en-US"/>
              </w:rPr>
              <w:t xml:space="preserve"> people</w:t>
            </w:r>
            <w:r w:rsidRPr="00E5116D">
              <w:rPr>
                <w:rFonts w:cs="Arial"/>
                <w:color w:val="000000" w:themeColor="text1"/>
                <w:sz w:val="22"/>
                <w:szCs w:val="22"/>
                <w:highlight w:val="white"/>
                <w:lang w:val="en-US"/>
              </w:rPr>
              <w:t xml:space="preserve"> who face multiple layers of stigma and discrimination, and for whom there is inequitable health outcomes and access to services.</w:t>
            </w:r>
          </w:p>
          <w:p w14:paraId="3E05FA2B" w14:textId="77777777" w:rsidR="00E5116D" w:rsidRPr="00E5116D" w:rsidRDefault="00E5116D" w:rsidP="00D15C77">
            <w:pPr>
              <w:spacing w:after="120"/>
              <w:jc w:val="both"/>
              <w:rPr>
                <w:rFonts w:cs="Arial"/>
                <w:color w:val="000000" w:themeColor="text1"/>
                <w:sz w:val="22"/>
                <w:szCs w:val="22"/>
                <w:highlight w:val="white"/>
                <w:lang w:val="en-US"/>
              </w:rPr>
            </w:pPr>
            <w:r w:rsidRPr="00E5116D">
              <w:rPr>
                <w:rFonts w:cs="Arial"/>
                <w:color w:val="000000" w:themeColor="text1"/>
                <w:sz w:val="22"/>
                <w:szCs w:val="22"/>
                <w:highlight w:val="white"/>
                <w:lang w:val="en-US"/>
              </w:rPr>
              <w:t>Importantly, this Strategy promotes equity by measuring progress against the targets for all priority populations and geographic areas. This is essential to ensuring that no one is left behind.</w:t>
            </w:r>
          </w:p>
          <w:p w14:paraId="065B093C" w14:textId="77777777" w:rsidR="00E5116D" w:rsidRPr="00E5116D" w:rsidRDefault="00E5116D" w:rsidP="00E5116D">
            <w:pPr>
              <w:rPr>
                <w:rFonts w:cs="Arial"/>
                <w:b/>
                <w:bCs/>
                <w:color w:val="000000" w:themeColor="text1"/>
                <w:sz w:val="30"/>
                <w:szCs w:val="30"/>
                <w:highlight w:val="white"/>
                <w:lang w:val="en-US"/>
              </w:rPr>
            </w:pPr>
          </w:p>
        </w:tc>
      </w:tr>
      <w:tr w:rsidR="00E5116D" w:rsidRPr="00E5116D" w14:paraId="57292BDE" w14:textId="77777777" w:rsidTr="00560122">
        <w:trPr>
          <w:cantSplit/>
          <w:trHeight w:val="414"/>
        </w:trPr>
        <w:tc>
          <w:tcPr>
            <w:tcW w:w="3360" w:type="dxa"/>
          </w:tcPr>
          <w:p w14:paraId="12E51E0C" w14:textId="77777777" w:rsidR="00E5116D" w:rsidRPr="00E5116D" w:rsidRDefault="00E5116D" w:rsidP="00E5116D">
            <w:pPr>
              <w:rPr>
                <w:rFonts w:cs="Arial"/>
                <w:b/>
                <w:bCs/>
                <w:color w:val="000000" w:themeColor="text1"/>
                <w:sz w:val="30"/>
                <w:szCs w:val="30"/>
                <w:highlight w:val="white"/>
              </w:rPr>
            </w:pPr>
            <w:r w:rsidRPr="00E5116D">
              <w:rPr>
                <w:noProof/>
              </w:rPr>
              <mc:AlternateContent>
                <mc:Choice Requires="wps">
                  <w:drawing>
                    <wp:anchor distT="0" distB="0" distL="114300" distR="114300" simplePos="0" relativeHeight="251657240" behindDoc="0" locked="0" layoutInCell="1" allowOverlap="1" wp14:anchorId="2A9C14C5" wp14:editId="5B080808">
                      <wp:simplePos x="0" y="0"/>
                      <wp:positionH relativeFrom="page">
                        <wp:posOffset>2540</wp:posOffset>
                      </wp:positionH>
                      <wp:positionV relativeFrom="page">
                        <wp:posOffset>2540</wp:posOffset>
                      </wp:positionV>
                      <wp:extent cx="143510" cy="1614805"/>
                      <wp:effectExtent l="0" t="0" r="8890" b="4445"/>
                      <wp:wrapSquare wrapText="bothSides"/>
                      <wp:docPr id="1236081396" name="Rectangle 1236081396" descr="P202C9T2#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614805"/>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204D" id="Rectangle 1236081396" o:spid="_x0000_s1026" alt="P202C9T2#y3" style="position:absolute;margin-left:.2pt;margin-top:.2pt;width:11.3pt;height:127.15pt;z-index:25165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" fillcolor="#f7941d" stroked="f" strokeweight="1pt">
                      <w10:wrap type="square" anchorx="page" anchory="page"/>
                    </v:rect>
                  </w:pict>
                </mc:Fallback>
              </mc:AlternateContent>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2" behindDoc="0" locked="0" layoutInCell="1" allowOverlap="1" wp14:anchorId="5D63B00A" wp14:editId="415A421A">
                      <wp:simplePos x="0" y="0"/>
                      <wp:positionH relativeFrom="column">
                        <wp:posOffset>363855</wp:posOffset>
                      </wp:positionH>
                      <wp:positionV relativeFrom="paragraph">
                        <wp:posOffset>62865</wp:posOffset>
                      </wp:positionV>
                      <wp:extent cx="1705610" cy="1404620"/>
                      <wp:effectExtent l="0" t="0" r="0" b="0"/>
                      <wp:wrapNone/>
                      <wp:docPr id="949507929" name="Text Box 949507929" descr="P202C9T2TB22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768B4B7" w14:textId="77777777" w:rsidR="00894F38" w:rsidRPr="005701F0" w:rsidRDefault="00894F38" w:rsidP="00E5116D">
                                  <w:pPr>
                                    <w:rPr>
                                      <w:b/>
                                      <w:bCs/>
                                      <w:sz w:val="32"/>
                                      <w:szCs w:val="32"/>
                                    </w:rPr>
                                  </w:pPr>
                                  <w:r>
                                    <w:rPr>
                                      <w:b/>
                                      <w:bCs/>
                                      <w:sz w:val="32"/>
                                      <w:szCs w:val="32"/>
                                    </w:rPr>
                                    <w:t>Health promotion and prevention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3B00A" id="Text Box 949507929" o:spid="_x0000_s1030" type="#_x0000_t202" alt="P202C9T2TB22bA#y1" style="position:absolute;margin-left:28.65pt;margin-top:4.95pt;width:134.3pt;height:110.6pt;z-index:2516572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" filled="f">
                      <v:stroke opacity="0"/>
                      <v:textbox style="mso-fit-shape-to-text:t">
                        <w:txbxContent>
                          <w:p w14:paraId="7768B4B7" w14:textId="77777777" w:rsidR="00894F38" w:rsidRPr="005701F0" w:rsidRDefault="00894F38" w:rsidP="00E5116D">
                            <w:pPr>
                              <w:rPr>
                                <w:b/>
                                <w:bCs/>
                                <w:sz w:val="32"/>
                                <w:szCs w:val="32"/>
                              </w:rPr>
                            </w:pPr>
                            <w:r>
                              <w:rPr>
                                <w:b/>
                                <w:bCs/>
                                <w:sz w:val="32"/>
                                <w:szCs w:val="32"/>
                              </w:rPr>
                              <w:t>Health promotion and prevention</w:t>
                            </w:r>
                          </w:p>
                        </w:txbxContent>
                      </v:textbox>
                    </v:shape>
                  </w:pict>
                </mc:Fallback>
              </mc:AlternateContent>
            </w:r>
            <w:r w:rsidRPr="00E5116D">
              <w:rPr>
                <w:noProof/>
              </w:rPr>
              <w:drawing>
                <wp:anchor distT="0" distB="0" distL="114300" distR="114300" simplePos="0" relativeHeight="251657230" behindDoc="1" locked="0" layoutInCell="1" allowOverlap="1" wp14:anchorId="5030110E" wp14:editId="5E28F9EA">
                  <wp:simplePos x="0" y="0"/>
                  <wp:positionH relativeFrom="page">
                    <wp:posOffset>675005</wp:posOffset>
                  </wp:positionH>
                  <wp:positionV relativeFrom="page">
                    <wp:posOffset>955675</wp:posOffset>
                  </wp:positionV>
                  <wp:extent cx="655320" cy="641985"/>
                  <wp:effectExtent l="0" t="0" r="0" b="5715"/>
                  <wp:wrapSquare wrapText="bothSides"/>
                  <wp:docPr id="1658447783" name="Graphic 1658447783" descr="P202C9T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47783" name="Graphic 1658447783" descr="P202C9T2#y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655320" cy="641985"/>
                          </a:xfrm>
                          <a:prstGeom prst="rect">
                            <a:avLst/>
                          </a:prstGeom>
                        </pic:spPr>
                      </pic:pic>
                    </a:graphicData>
                  </a:graphic>
                  <wp14:sizeRelH relativeFrom="margin">
                    <wp14:pctWidth>0</wp14:pctWidth>
                  </wp14:sizeRelH>
                  <wp14:sizeRelV relativeFrom="margin">
                    <wp14:pctHeight>0</wp14:pctHeight>
                  </wp14:sizeRelV>
                </wp:anchor>
              </w:drawing>
            </w:r>
            <w:r w:rsidRPr="00E5116D">
              <w:rPr>
                <w:noProof/>
              </w:rPr>
              <w:drawing>
                <wp:anchor distT="0" distB="0" distL="114300" distR="114300" simplePos="0" relativeHeight="251657255" behindDoc="1" locked="0" layoutInCell="1" allowOverlap="1" wp14:anchorId="49811102" wp14:editId="0B4490CE">
                  <wp:simplePos x="0" y="0"/>
                  <wp:positionH relativeFrom="page">
                    <wp:posOffset>8890</wp:posOffset>
                  </wp:positionH>
                  <wp:positionV relativeFrom="page">
                    <wp:posOffset>40640</wp:posOffset>
                  </wp:positionV>
                  <wp:extent cx="1232535" cy="1663065"/>
                  <wp:effectExtent l="0" t="0" r="0" b="0"/>
                  <wp:wrapNone/>
                  <wp:docPr id="96" name="Graphic 96" descr="P202C9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6" descr="P202C9T2#y1">
                            <a:extLst>
                              <a:ext uri="{C183D7F6-B498-43B3-948B-1728B52AA6E4}">
                                <adec:decorative xmlns:adec="http://schemas.microsoft.com/office/drawing/2017/decorative" val="1"/>
                              </a:ext>
                            </a:extLst>
                          </pic:cNvPr>
                          <pic:cNvPicPr>
                            <a:picLocks noChangeAspect="1"/>
                          </pic:cNvPicPr>
                        </pic:nvPicPr>
                        <pic:blipFill rotWithShape="1">
                          <a:blip r:embed="rId29">
                            <a:extLst>
                              <a:ext uri="{96DAC541-7B7A-43D3-8B79-37D633B846F1}">
                                <asvg:svgBlip xmlns:asvg="http://schemas.microsoft.com/office/drawing/2016/SVG/main" r:embed="rId30"/>
                              </a:ext>
                            </a:extLst>
                          </a:blip>
                          <a:srcRect l="52299" t="26811" r="34475" b="38670"/>
                          <a:stretch/>
                        </pic:blipFill>
                        <pic:spPr>
                          <a:xfrm>
                            <a:off x="0" y="0"/>
                            <a:ext cx="1232535" cy="1663065"/>
                          </a:xfrm>
                          <a:prstGeom prst="rect">
                            <a:avLst/>
                          </a:prstGeom>
                        </pic:spPr>
                      </pic:pic>
                    </a:graphicData>
                  </a:graphic>
                  <wp14:sizeRelH relativeFrom="margin">
                    <wp14:pctWidth>0</wp14:pctWidth>
                  </wp14:sizeRelH>
                  <wp14:sizeRelV relativeFrom="margin">
                    <wp14:pctHeight>0</wp14:pctHeight>
                  </wp14:sizeRelV>
                </wp:anchor>
              </w:drawing>
            </w:r>
          </w:p>
          <w:p w14:paraId="7ABE683B" w14:textId="77777777" w:rsidR="00E5116D" w:rsidRPr="00E5116D" w:rsidRDefault="00E5116D" w:rsidP="00E5116D">
            <w:pPr>
              <w:rPr>
                <w:rFonts w:cs="Arial"/>
                <w:b/>
                <w:bCs/>
                <w:color w:val="000000" w:themeColor="text1"/>
                <w:sz w:val="30"/>
                <w:szCs w:val="30"/>
                <w:highlight w:val="white"/>
              </w:rPr>
            </w:pPr>
          </w:p>
        </w:tc>
        <w:tc>
          <w:tcPr>
            <w:tcW w:w="6272" w:type="dxa"/>
          </w:tcPr>
          <w:p w14:paraId="75B19046" w14:textId="0499E623" w:rsidR="00E5116D" w:rsidRPr="00E5116D" w:rsidRDefault="00E5116D" w:rsidP="00D15C77">
            <w:pPr>
              <w:spacing w:after="120"/>
              <w:jc w:val="both"/>
              <w:rPr>
                <w:rFonts w:cs="Arial"/>
                <w:color w:val="000000" w:themeColor="text1"/>
                <w:sz w:val="22"/>
                <w:szCs w:val="22"/>
                <w:highlight w:val="white"/>
              </w:rPr>
            </w:pPr>
            <w:r w:rsidRPr="00E5116D">
              <w:rPr>
                <w:rFonts w:cs="Arial"/>
                <w:color w:val="000000" w:themeColor="text1"/>
                <w:sz w:val="22"/>
                <w:szCs w:val="22"/>
                <w:highlight w:val="white"/>
              </w:rPr>
              <w:t xml:space="preserve">Consistent with the National </w:t>
            </w:r>
            <w:r w:rsidR="00961E1B" w:rsidRPr="00442D9E">
              <w:rPr>
                <w:rFonts w:cs="Arial"/>
                <w:color w:val="000000" w:themeColor="text1"/>
                <w:sz w:val="22"/>
                <w:szCs w:val="22"/>
              </w:rPr>
              <w:t>Preventive Health Strategy 2021–2030</w:t>
            </w:r>
            <w:r w:rsidR="00D15C77">
              <w:rPr>
                <w:rFonts w:cs="Arial"/>
                <w:color w:val="000000" w:themeColor="text1"/>
                <w:sz w:val="22"/>
                <w:szCs w:val="22"/>
              </w:rPr>
              <w:t>,</w:t>
            </w:r>
            <w:r w:rsidR="008B43F1">
              <w:rPr>
                <w:rFonts w:ascii="ZWAdobeF" w:hAnsi="ZWAdobeF" w:cs="ZWAdobeF"/>
                <w:sz w:val="2"/>
                <w:szCs w:val="2"/>
              </w:rPr>
              <w:t>26F</w:t>
            </w:r>
            <w:r w:rsidR="00961E1B" w:rsidRPr="00442D9E">
              <w:rPr>
                <w:rStyle w:val="EndnoteReference"/>
                <w:rFonts w:cs="Arial"/>
                <w:color w:val="000000" w:themeColor="text1"/>
                <w:sz w:val="22"/>
                <w:szCs w:val="22"/>
              </w:rPr>
              <w:endnoteReference w:id="26"/>
            </w:r>
            <w:r w:rsidRPr="00E5116D">
              <w:rPr>
                <w:rFonts w:cs="Arial"/>
                <w:color w:val="000000" w:themeColor="text1"/>
                <w:sz w:val="22"/>
                <w:szCs w:val="22"/>
                <w:highlight w:val="white"/>
              </w:rPr>
              <w:t xml:space="preserve"> prevention involves identifying and mitigating risks to the health of populations. It also involves identifying and implementing protective measures through a combination of evidence-based biomedical, behavioural</w:t>
            </w:r>
            <w:r w:rsidR="00836D33">
              <w:rPr>
                <w:rFonts w:cs="Arial"/>
                <w:color w:val="000000" w:themeColor="text1"/>
                <w:sz w:val="22"/>
                <w:szCs w:val="22"/>
                <w:highlight w:val="white"/>
              </w:rPr>
              <w:t>,</w:t>
            </w:r>
            <w:r w:rsidRPr="00E5116D">
              <w:rPr>
                <w:rFonts w:cs="Arial"/>
                <w:color w:val="000000" w:themeColor="text1"/>
                <w:sz w:val="22"/>
                <w:szCs w:val="22"/>
                <w:highlight w:val="white"/>
              </w:rPr>
              <w:t xml:space="preserve"> and social approaches within a supportive enabling environment.</w:t>
            </w:r>
          </w:p>
          <w:p w14:paraId="37F8BC8D" w14:textId="4A11FBC5" w:rsidR="00E5116D" w:rsidRPr="00E5116D" w:rsidRDefault="00E5116D" w:rsidP="00D15C77">
            <w:pPr>
              <w:spacing w:after="120"/>
              <w:jc w:val="both"/>
              <w:rPr>
                <w:rFonts w:cs="Arial"/>
                <w:color w:val="000000" w:themeColor="text1"/>
                <w:sz w:val="22"/>
                <w:szCs w:val="22"/>
                <w:highlight w:val="white"/>
              </w:rPr>
            </w:pPr>
            <w:r w:rsidRPr="00E5116D">
              <w:rPr>
                <w:rFonts w:cs="Arial"/>
                <w:color w:val="000000" w:themeColor="text1"/>
                <w:sz w:val="22"/>
                <w:szCs w:val="22"/>
                <w:highlight w:val="white"/>
              </w:rPr>
              <w:t>In line with the Ottawa Charter for Health Promotion, priority populations</w:t>
            </w:r>
            <w:r w:rsidR="00F73AF7">
              <w:rPr>
                <w:rFonts w:cs="Arial"/>
                <w:color w:val="000000" w:themeColor="text1"/>
                <w:sz w:val="22"/>
                <w:szCs w:val="22"/>
                <w:highlight w:val="white"/>
              </w:rPr>
              <w:t>,</w:t>
            </w:r>
            <w:r w:rsidRPr="00E5116D">
              <w:rPr>
                <w:rFonts w:cs="Arial"/>
                <w:color w:val="000000" w:themeColor="text1"/>
                <w:sz w:val="22"/>
                <w:szCs w:val="22"/>
                <w:highlight w:val="white"/>
              </w:rPr>
              <w:t xml:space="preserve"> as</w:t>
            </w:r>
            <w:r w:rsidR="00F73AF7">
              <w:rPr>
                <w:rFonts w:cs="Arial"/>
                <w:color w:val="000000" w:themeColor="text1"/>
                <w:sz w:val="22"/>
                <w:szCs w:val="22"/>
                <w:highlight w:val="white"/>
              </w:rPr>
              <w:t xml:space="preserve"> well as</w:t>
            </w:r>
            <w:r w:rsidRPr="00E5116D">
              <w:rPr>
                <w:rFonts w:cs="Arial"/>
                <w:color w:val="000000" w:themeColor="text1"/>
                <w:sz w:val="22"/>
                <w:szCs w:val="22"/>
                <w:highlight w:val="white"/>
              </w:rPr>
              <w:t xml:space="preserve"> communities and individuals</w:t>
            </w:r>
            <w:r w:rsidR="00F73AF7">
              <w:rPr>
                <w:rFonts w:cs="Arial"/>
                <w:color w:val="000000" w:themeColor="text1"/>
                <w:sz w:val="22"/>
                <w:szCs w:val="22"/>
                <w:highlight w:val="white"/>
              </w:rPr>
              <w:t>,</w:t>
            </w:r>
            <w:r w:rsidRPr="00E5116D">
              <w:rPr>
                <w:rFonts w:cs="Arial"/>
                <w:color w:val="000000" w:themeColor="text1"/>
                <w:sz w:val="22"/>
                <w:szCs w:val="22"/>
                <w:highlight w:val="white"/>
              </w:rPr>
              <w:t xml:space="preserve"> have an important role in influencing the determinants of their health, and the formulation and application of laws and public policies to support and encourage healthy behaviours and respect for human rights</w:t>
            </w:r>
            <w:r w:rsidR="00CE11DE">
              <w:rPr>
                <w:rFonts w:cs="Arial"/>
                <w:color w:val="000000" w:themeColor="text1"/>
                <w:sz w:val="22"/>
                <w:szCs w:val="22"/>
                <w:highlight w:val="white"/>
              </w:rPr>
              <w:t xml:space="preserve">. Priority populations </w:t>
            </w:r>
            <w:r w:rsidRPr="00E5116D">
              <w:rPr>
                <w:rFonts w:cs="Arial"/>
                <w:color w:val="000000" w:themeColor="text1"/>
                <w:sz w:val="22"/>
                <w:szCs w:val="22"/>
                <w:highlight w:val="white"/>
              </w:rPr>
              <w:t>should be enabled in leading health promotion acti</w:t>
            </w:r>
            <w:r w:rsidR="00D15C77">
              <w:rPr>
                <w:rFonts w:cs="Arial"/>
                <w:color w:val="000000" w:themeColor="text1"/>
                <w:sz w:val="22"/>
                <w:szCs w:val="22"/>
                <w:highlight w:val="white"/>
              </w:rPr>
              <w:t>o</w:t>
            </w:r>
            <w:r w:rsidRPr="00E5116D">
              <w:rPr>
                <w:rFonts w:cs="Arial"/>
                <w:color w:val="000000" w:themeColor="text1"/>
                <w:sz w:val="22"/>
                <w:szCs w:val="22"/>
                <w:highlight w:val="white"/>
              </w:rPr>
              <w:t>ns.</w:t>
            </w:r>
          </w:p>
          <w:p w14:paraId="5C662F15" w14:textId="77777777" w:rsidR="00E5116D" w:rsidRPr="00E5116D" w:rsidRDefault="00E5116D" w:rsidP="00E5116D">
            <w:pPr>
              <w:rPr>
                <w:rFonts w:cs="Arial"/>
                <w:color w:val="000000" w:themeColor="text1"/>
                <w:sz w:val="22"/>
                <w:szCs w:val="22"/>
                <w:highlight w:val="white"/>
              </w:rPr>
            </w:pPr>
          </w:p>
        </w:tc>
      </w:tr>
      <w:tr w:rsidR="00E5116D" w:rsidRPr="00E5116D" w14:paraId="42A9CA53" w14:textId="77777777" w:rsidTr="00560122">
        <w:trPr>
          <w:cantSplit/>
          <w:trHeight w:val="414"/>
        </w:trPr>
        <w:tc>
          <w:tcPr>
            <w:tcW w:w="3360" w:type="dxa"/>
          </w:tcPr>
          <w:p w14:paraId="6184CB6C" w14:textId="77777777" w:rsidR="00E5116D" w:rsidRPr="00E5116D" w:rsidRDefault="00E5116D" w:rsidP="00E5116D">
            <w:pPr>
              <w:rPr>
                <w:rFonts w:cs="Arial"/>
                <w:b/>
                <w:bCs/>
                <w:color w:val="000000" w:themeColor="text1"/>
                <w:sz w:val="30"/>
                <w:szCs w:val="30"/>
                <w:highlight w:val="white"/>
              </w:rPr>
            </w:pPr>
            <w:r w:rsidRPr="00E5116D">
              <w:rPr>
                <w:noProof/>
              </w:rPr>
              <mc:AlternateContent>
                <mc:Choice Requires="wps">
                  <w:drawing>
                    <wp:anchor distT="0" distB="0" distL="114300" distR="114300" simplePos="0" relativeHeight="251657241" behindDoc="0" locked="0" layoutInCell="1" allowOverlap="1" wp14:anchorId="148FCF66" wp14:editId="1B92F31E">
                      <wp:simplePos x="0" y="0"/>
                      <wp:positionH relativeFrom="page">
                        <wp:posOffset>2540</wp:posOffset>
                      </wp:positionH>
                      <wp:positionV relativeFrom="page">
                        <wp:posOffset>0</wp:posOffset>
                      </wp:positionV>
                      <wp:extent cx="143510" cy="1329690"/>
                      <wp:effectExtent l="0" t="0" r="8890" b="3810"/>
                      <wp:wrapSquare wrapText="bothSides"/>
                      <wp:docPr id="1154113428" name="Rectangle 1154113428" descr="P208C11T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329690"/>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C2EC8" id="Rectangle 1154113428" o:spid="_x0000_s1026" alt="P208C11T2#y2" style="position:absolute;margin-left:.2pt;margin-top:0;width:11.3pt;height:104.7pt;z-index:251657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" fillcolor="#f7941d" stroked="f" strokeweight="1pt">
                      <w10:wrap type="square" anchorx="page" anchory="page"/>
                    </v:rect>
                  </w:pict>
                </mc:Fallback>
              </mc:AlternateContent>
            </w:r>
            <w:r w:rsidRPr="00E5116D">
              <w:rPr>
                <w:noProof/>
              </w:rPr>
              <w:drawing>
                <wp:anchor distT="0" distB="0" distL="114300" distR="114300" simplePos="0" relativeHeight="251657256" behindDoc="1" locked="0" layoutInCell="1" allowOverlap="1" wp14:anchorId="5E283DCD" wp14:editId="6073DA84">
                  <wp:simplePos x="0" y="0"/>
                  <wp:positionH relativeFrom="page">
                    <wp:posOffset>-1905</wp:posOffset>
                  </wp:positionH>
                  <wp:positionV relativeFrom="page">
                    <wp:posOffset>4445</wp:posOffset>
                  </wp:positionV>
                  <wp:extent cx="1143000" cy="1662430"/>
                  <wp:effectExtent l="0" t="0" r="0" b="0"/>
                  <wp:wrapNone/>
                  <wp:docPr id="138" name="Graphic 138" descr="P208C11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 138" descr="P208C11T2#y1">
                            <a:extLst>
                              <a:ext uri="{C183D7F6-B498-43B3-948B-1728B52AA6E4}">
                                <adec:decorative xmlns:adec="http://schemas.microsoft.com/office/drawing/2017/decorative" val="1"/>
                              </a:ext>
                            </a:extLst>
                          </pic:cNvPr>
                          <pic:cNvPicPr>
                            <a:picLocks noChangeAspect="1"/>
                          </pic:cNvPicPr>
                        </pic:nvPicPr>
                        <pic:blipFill rotWithShape="1">
                          <a:blip r:embed="rId29">
                            <a:extLst>
                              <a:ext uri="{96DAC541-7B7A-43D3-8B79-37D633B846F1}">
                                <asvg:svgBlip xmlns:asvg="http://schemas.microsoft.com/office/drawing/2016/SVG/main" r:embed="rId30"/>
                              </a:ext>
                            </a:extLst>
                          </a:blip>
                          <a:srcRect l="70394" t="26811" r="16483" b="38670"/>
                          <a:stretch/>
                        </pic:blipFill>
                        <pic:spPr bwMode="auto">
                          <a:xfrm>
                            <a:off x="0" y="0"/>
                            <a:ext cx="1143000" cy="166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16D">
              <w:rPr>
                <w:noProof/>
              </w:rPr>
              <w:drawing>
                <wp:anchor distT="0" distB="0" distL="114300" distR="114300" simplePos="0" relativeHeight="251657257" behindDoc="1" locked="0" layoutInCell="1" allowOverlap="1" wp14:anchorId="17E635FA" wp14:editId="26F2C64E">
                  <wp:simplePos x="0" y="0"/>
                  <wp:positionH relativeFrom="page">
                    <wp:posOffset>723569</wp:posOffset>
                  </wp:positionH>
                  <wp:positionV relativeFrom="page">
                    <wp:posOffset>792811</wp:posOffset>
                  </wp:positionV>
                  <wp:extent cx="657860" cy="509905"/>
                  <wp:effectExtent l="0" t="0" r="8890" b="4445"/>
                  <wp:wrapSquare wrapText="bothSides"/>
                  <wp:docPr id="1880209941" name="Graphic 1880209941" descr="P208C11T2#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09941" name="Graphic 1880209941" descr="P208C11T2#y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657860" cy="509905"/>
                          </a:xfrm>
                          <a:prstGeom prst="rect">
                            <a:avLst/>
                          </a:prstGeom>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w:t xml:space="preserve"> </w:t>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3" behindDoc="0" locked="0" layoutInCell="1" allowOverlap="1" wp14:anchorId="358D3054" wp14:editId="66D836AD">
                      <wp:simplePos x="0" y="0"/>
                      <wp:positionH relativeFrom="column">
                        <wp:posOffset>430530</wp:posOffset>
                      </wp:positionH>
                      <wp:positionV relativeFrom="paragraph">
                        <wp:posOffset>4445</wp:posOffset>
                      </wp:positionV>
                      <wp:extent cx="1609725" cy="1404620"/>
                      <wp:effectExtent l="0" t="0" r="0" b="0"/>
                      <wp:wrapNone/>
                      <wp:docPr id="1644794794" name="Text Box 1644794794" descr="P208C11T2TB23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6E9D901" w14:textId="77777777" w:rsidR="00894F38" w:rsidRPr="005701F0" w:rsidRDefault="00894F38" w:rsidP="00E5116D">
                                  <w:pPr>
                                    <w:rPr>
                                      <w:b/>
                                      <w:bCs/>
                                      <w:sz w:val="32"/>
                                      <w:szCs w:val="32"/>
                                    </w:rPr>
                                  </w:pPr>
                                  <w:r>
                                    <w:rPr>
                                      <w:b/>
                                      <w:bCs/>
                                      <w:sz w:val="32"/>
                                      <w:szCs w:val="32"/>
                                    </w:rPr>
                                    <w:t>Access and quality health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D3054" id="Text Box 1644794794" o:spid="_x0000_s1031" type="#_x0000_t202" alt="P208C11T2TB23bA#y1" style="position:absolute;margin-left:33.9pt;margin-top:.35pt;width:126.75pt;height:110.6pt;z-index:2516572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" filled="f">
                      <v:stroke opacity="0"/>
                      <v:textbox style="mso-fit-shape-to-text:t">
                        <w:txbxContent>
                          <w:p w14:paraId="06E9D901" w14:textId="77777777" w:rsidR="00894F38" w:rsidRPr="005701F0" w:rsidRDefault="00894F38" w:rsidP="00E5116D">
                            <w:pPr>
                              <w:rPr>
                                <w:b/>
                                <w:bCs/>
                                <w:sz w:val="32"/>
                                <w:szCs w:val="32"/>
                              </w:rPr>
                            </w:pPr>
                            <w:r>
                              <w:rPr>
                                <w:b/>
                                <w:bCs/>
                                <w:sz w:val="32"/>
                                <w:szCs w:val="32"/>
                              </w:rPr>
                              <w:t>Access and quality health services</w:t>
                            </w:r>
                          </w:p>
                        </w:txbxContent>
                      </v:textbox>
                    </v:shape>
                  </w:pict>
                </mc:Fallback>
              </mc:AlternateContent>
            </w:r>
          </w:p>
        </w:tc>
        <w:tc>
          <w:tcPr>
            <w:tcW w:w="6272" w:type="dxa"/>
          </w:tcPr>
          <w:p w14:paraId="3E7CDE07" w14:textId="2D68141F" w:rsidR="00E5116D" w:rsidRPr="00E5116D" w:rsidRDefault="00E5116D" w:rsidP="00D15C77">
            <w:pPr>
              <w:spacing w:after="120"/>
              <w:jc w:val="both"/>
              <w:rPr>
                <w:rFonts w:cs="Arial"/>
                <w:color w:val="000000" w:themeColor="text1"/>
                <w:sz w:val="22"/>
                <w:szCs w:val="22"/>
                <w:highlight w:val="white"/>
                <w:lang w:val="en-US"/>
              </w:rPr>
            </w:pPr>
            <w:r w:rsidRPr="00E5116D">
              <w:rPr>
                <w:rFonts w:cs="Arial"/>
                <w:color w:val="000000" w:themeColor="text1"/>
                <w:sz w:val="22"/>
                <w:szCs w:val="22"/>
                <w:highlight w:val="white"/>
                <w:lang w:val="en-US"/>
              </w:rPr>
              <w:t xml:space="preserve">STI care in Australia should be accessible, high quality and affordable to all, based on need. Consideration and effort must be applied to address the social </w:t>
            </w:r>
            <w:r w:rsidR="001E4846">
              <w:rPr>
                <w:rFonts w:cs="Arial"/>
                <w:color w:val="000000" w:themeColor="text1"/>
                <w:sz w:val="22"/>
                <w:szCs w:val="22"/>
                <w:highlight w:val="white"/>
                <w:lang w:val="en-US"/>
              </w:rPr>
              <w:t xml:space="preserve">and structural </w:t>
            </w:r>
            <w:r w:rsidRPr="00E5116D">
              <w:rPr>
                <w:rFonts w:cs="Arial"/>
                <w:color w:val="000000" w:themeColor="text1"/>
                <w:sz w:val="22"/>
                <w:szCs w:val="22"/>
                <w:highlight w:val="white"/>
                <w:lang w:val="en-US"/>
              </w:rPr>
              <w:t>determinants of health and reduce the inequalities that lead to a lack of accessible and equitable health care, particularly for priority populations.</w:t>
            </w:r>
          </w:p>
          <w:p w14:paraId="6147DCC1" w14:textId="4F28DA3D" w:rsidR="00E5116D" w:rsidRPr="00E5116D" w:rsidRDefault="00E5116D" w:rsidP="00D15C77">
            <w:pPr>
              <w:spacing w:after="120"/>
              <w:jc w:val="both"/>
              <w:rPr>
                <w:rFonts w:cs="Arial"/>
                <w:color w:val="000000" w:themeColor="text1"/>
                <w:sz w:val="22"/>
                <w:szCs w:val="22"/>
                <w:highlight w:val="white"/>
                <w:lang w:val="en-US"/>
              </w:rPr>
            </w:pPr>
            <w:r w:rsidRPr="00E5116D">
              <w:rPr>
                <w:rFonts w:cs="Arial"/>
                <w:color w:val="000000" w:themeColor="text1"/>
                <w:sz w:val="22"/>
                <w:szCs w:val="22"/>
                <w:highlight w:val="white"/>
                <w:lang w:val="en-US"/>
              </w:rPr>
              <w:t>Quality accessible health services are reliant on a multidisciplinary STI workforce, including peers, that deliver person-</w:t>
            </w:r>
            <w:r w:rsidR="002F0824" w:rsidRPr="00E5116D">
              <w:rPr>
                <w:rFonts w:cs="Arial"/>
                <w:color w:val="000000" w:themeColor="text1"/>
                <w:sz w:val="22"/>
                <w:szCs w:val="22"/>
                <w:highlight w:val="white"/>
                <w:lang w:val="en-US"/>
              </w:rPr>
              <w:t>centered</w:t>
            </w:r>
            <w:r w:rsidRPr="00E5116D">
              <w:rPr>
                <w:rFonts w:cs="Arial"/>
                <w:color w:val="000000" w:themeColor="text1"/>
                <w:sz w:val="22"/>
                <w:szCs w:val="22"/>
                <w:highlight w:val="white"/>
                <w:lang w:val="en-US"/>
              </w:rPr>
              <w:t xml:space="preserve">, </w:t>
            </w:r>
            <w:r w:rsidR="00543127">
              <w:rPr>
                <w:rFonts w:cs="Arial"/>
                <w:color w:val="000000" w:themeColor="text1"/>
                <w:sz w:val="22"/>
                <w:szCs w:val="22"/>
                <w:highlight w:val="white"/>
                <w:lang w:val="en-US"/>
              </w:rPr>
              <w:t xml:space="preserve">non-stigmatising, </w:t>
            </w:r>
            <w:r w:rsidRPr="00E5116D">
              <w:rPr>
                <w:rFonts w:cs="Arial"/>
                <w:color w:val="000000" w:themeColor="text1"/>
                <w:sz w:val="22"/>
                <w:szCs w:val="22"/>
                <w:highlight w:val="white"/>
                <w:lang w:val="en-US"/>
              </w:rPr>
              <w:t>whole of life, effective, safe, and appropriate care.</w:t>
            </w:r>
          </w:p>
          <w:p w14:paraId="1CECC762" w14:textId="77777777" w:rsidR="00E5116D" w:rsidRPr="00E5116D" w:rsidRDefault="00E5116D" w:rsidP="00D15C77">
            <w:pPr>
              <w:jc w:val="both"/>
              <w:rPr>
                <w:rFonts w:cs="Arial"/>
                <w:color w:val="000000" w:themeColor="text1"/>
                <w:sz w:val="22"/>
                <w:szCs w:val="22"/>
                <w:highlight w:val="white"/>
                <w:lang w:val="en-US"/>
              </w:rPr>
            </w:pPr>
          </w:p>
        </w:tc>
      </w:tr>
      <w:tr w:rsidR="00E5116D" w:rsidRPr="00E5116D" w14:paraId="2DC8426E" w14:textId="77777777" w:rsidTr="00560122">
        <w:trPr>
          <w:cantSplit/>
          <w:trHeight w:val="414"/>
        </w:trPr>
        <w:tc>
          <w:tcPr>
            <w:tcW w:w="3360" w:type="dxa"/>
          </w:tcPr>
          <w:p w14:paraId="06C3B62F" w14:textId="77777777" w:rsidR="00E5116D" w:rsidRPr="00E5116D" w:rsidRDefault="00E5116D" w:rsidP="00E5116D">
            <w:pPr>
              <w:rPr>
                <w:rFonts w:cs="Arial"/>
                <w:b/>
                <w:bCs/>
                <w:color w:val="000000" w:themeColor="text1"/>
                <w:sz w:val="30"/>
                <w:szCs w:val="30"/>
                <w:highlight w:val="white"/>
              </w:rPr>
            </w:pPr>
            <w:r w:rsidRPr="00E5116D">
              <w:rPr>
                <w:noProof/>
              </w:rPr>
              <mc:AlternateContent>
                <mc:Choice Requires="wps">
                  <w:drawing>
                    <wp:anchor distT="0" distB="0" distL="114300" distR="114300" simplePos="0" relativeHeight="251657242" behindDoc="0" locked="0" layoutInCell="1" allowOverlap="1" wp14:anchorId="52FACC74" wp14:editId="4AAE5E40">
                      <wp:simplePos x="0" y="0"/>
                      <wp:positionH relativeFrom="page">
                        <wp:posOffset>2540</wp:posOffset>
                      </wp:positionH>
                      <wp:positionV relativeFrom="page">
                        <wp:posOffset>10160</wp:posOffset>
                      </wp:positionV>
                      <wp:extent cx="143510" cy="1238885"/>
                      <wp:effectExtent l="0" t="0" r="8890" b="0"/>
                      <wp:wrapSquare wrapText="bothSides"/>
                      <wp:docPr id="927503399" name="Rectangle 927503399" descr="P213C13T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238885"/>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7A1D" id="Rectangle 927503399" o:spid="_x0000_s1026" alt="P213C13T2#y2" style="position:absolute;margin-left:.2pt;margin-top:.8pt;width:11.3pt;height:97.55pt;z-index:251657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" fillcolor="#f7941d" stroked="f" strokeweight="1pt">
                      <w10:wrap type="square" anchorx="page" anchory="page"/>
                    </v:rect>
                  </w:pict>
                </mc:Fallback>
              </mc:AlternateContent>
            </w:r>
            <w:r w:rsidRPr="00E5116D">
              <w:rPr>
                <w:noProof/>
              </w:rPr>
              <w:drawing>
                <wp:anchor distT="0" distB="0" distL="114300" distR="114300" simplePos="0" relativeHeight="251657258" behindDoc="1" locked="0" layoutInCell="1" allowOverlap="1" wp14:anchorId="761CC25A" wp14:editId="1E6294C5">
                  <wp:simplePos x="0" y="0"/>
                  <wp:positionH relativeFrom="page">
                    <wp:posOffset>661035</wp:posOffset>
                  </wp:positionH>
                  <wp:positionV relativeFrom="page">
                    <wp:posOffset>683260</wp:posOffset>
                  </wp:positionV>
                  <wp:extent cx="647700" cy="568325"/>
                  <wp:effectExtent l="0" t="0" r="0" b="3175"/>
                  <wp:wrapSquare wrapText="bothSides"/>
                  <wp:docPr id="1910443078" name="Graphic 1910443078" descr="P213C13T2#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43078" name="Graphic 1910443078" descr="P213C13T2#y3">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647700" cy="568325"/>
                          </a:xfrm>
                          <a:prstGeom prst="rect">
                            <a:avLst/>
                          </a:prstGeom>
                        </pic:spPr>
                      </pic:pic>
                    </a:graphicData>
                  </a:graphic>
                  <wp14:sizeRelH relativeFrom="margin">
                    <wp14:pctWidth>0</wp14:pctWidth>
                  </wp14:sizeRelH>
                  <wp14:sizeRelV relativeFrom="margin">
                    <wp14:pctHeight>0</wp14:pctHeight>
                  </wp14:sizeRelV>
                </wp:anchor>
              </w:drawing>
            </w:r>
            <w:r w:rsidRPr="00E5116D">
              <w:rPr>
                <w:noProof/>
              </w:rPr>
              <w:drawing>
                <wp:anchor distT="0" distB="0" distL="114300" distR="114300" simplePos="0" relativeHeight="251657259" behindDoc="1" locked="0" layoutInCell="1" allowOverlap="1" wp14:anchorId="16A03757" wp14:editId="322E9213">
                  <wp:simplePos x="0" y="0"/>
                  <wp:positionH relativeFrom="page">
                    <wp:posOffset>63500</wp:posOffset>
                  </wp:positionH>
                  <wp:positionV relativeFrom="page">
                    <wp:posOffset>14605</wp:posOffset>
                  </wp:positionV>
                  <wp:extent cx="1080770" cy="1663065"/>
                  <wp:effectExtent l="0" t="0" r="5080" b="0"/>
                  <wp:wrapNone/>
                  <wp:docPr id="133" name="Graphic 133" descr="P213C13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phic 133" descr="P213C13T2#y1">
                            <a:extLst>
                              <a:ext uri="{C183D7F6-B498-43B3-948B-1728B52AA6E4}">
                                <adec:decorative xmlns:adec="http://schemas.microsoft.com/office/drawing/2017/decorative" val="1"/>
                              </a:ext>
                            </a:extLst>
                          </pic:cNvPr>
                          <pic:cNvPicPr>
                            <a:picLocks noChangeAspect="1"/>
                          </pic:cNvPicPr>
                        </pic:nvPicPr>
                        <pic:blipFill rotWithShape="1">
                          <a:blip r:embed="rId29">
                            <a:extLst>
                              <a:ext uri="{96DAC541-7B7A-43D3-8B79-37D633B846F1}">
                                <asvg:svgBlip xmlns:asvg="http://schemas.microsoft.com/office/drawing/2016/SVG/main" r:embed="rId30"/>
                              </a:ext>
                            </a:extLst>
                          </a:blip>
                          <a:srcRect l="17026" t="26811" r="70562" b="38670"/>
                          <a:stretch/>
                        </pic:blipFill>
                        <pic:spPr>
                          <a:xfrm>
                            <a:off x="0" y="0"/>
                            <a:ext cx="1080770" cy="1663065"/>
                          </a:xfrm>
                          <a:prstGeom prst="rect">
                            <a:avLst/>
                          </a:prstGeom>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w:t xml:space="preserve"> </w:t>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4" behindDoc="0" locked="0" layoutInCell="1" allowOverlap="1" wp14:anchorId="5DAF4ED7" wp14:editId="21AF0E93">
                      <wp:simplePos x="0" y="0"/>
                      <wp:positionH relativeFrom="column">
                        <wp:posOffset>310515</wp:posOffset>
                      </wp:positionH>
                      <wp:positionV relativeFrom="paragraph">
                        <wp:posOffset>3175</wp:posOffset>
                      </wp:positionV>
                      <wp:extent cx="1609725" cy="1404620"/>
                      <wp:effectExtent l="0" t="0" r="0" b="0"/>
                      <wp:wrapNone/>
                      <wp:docPr id="748174807" name="Text Box 748174807" descr="P213C13T2TB24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436AD0A" w14:textId="77777777" w:rsidR="00894F38" w:rsidRPr="005701F0" w:rsidRDefault="00894F38" w:rsidP="00E5116D">
                                  <w:pPr>
                                    <w:rPr>
                                      <w:b/>
                                      <w:bCs/>
                                      <w:sz w:val="32"/>
                                      <w:szCs w:val="32"/>
                                    </w:rPr>
                                  </w:pPr>
                                  <w:r>
                                    <w:rPr>
                                      <w:b/>
                                      <w:bCs/>
                                      <w:sz w:val="32"/>
                                      <w:szCs w:val="32"/>
                                    </w:rPr>
                                    <w:t>Harm reduction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F4ED7" id="Text Box 748174807" o:spid="_x0000_s1032" type="#_x0000_t202" alt="P213C13T2TB24bA#y1" style="position:absolute;margin-left:24.45pt;margin-top:.25pt;width:126.75pt;height:110.6pt;z-index:251657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" filled="f">
                      <v:stroke opacity="0"/>
                      <v:textbox style="mso-fit-shape-to-text:t">
                        <w:txbxContent>
                          <w:p w14:paraId="5436AD0A" w14:textId="77777777" w:rsidR="00894F38" w:rsidRPr="005701F0" w:rsidRDefault="00894F38" w:rsidP="00E5116D">
                            <w:pPr>
                              <w:rPr>
                                <w:b/>
                                <w:bCs/>
                                <w:sz w:val="32"/>
                                <w:szCs w:val="32"/>
                              </w:rPr>
                            </w:pPr>
                            <w:r>
                              <w:rPr>
                                <w:b/>
                                <w:bCs/>
                                <w:sz w:val="32"/>
                                <w:szCs w:val="32"/>
                              </w:rPr>
                              <w:t>Harm reduction</w:t>
                            </w:r>
                          </w:p>
                        </w:txbxContent>
                      </v:textbox>
                    </v:shape>
                  </w:pict>
                </mc:Fallback>
              </mc:AlternateContent>
            </w:r>
          </w:p>
        </w:tc>
        <w:tc>
          <w:tcPr>
            <w:tcW w:w="6272" w:type="dxa"/>
          </w:tcPr>
          <w:p w14:paraId="1D30EF5C" w14:textId="6A1310DB" w:rsidR="00E5116D" w:rsidRPr="00E5116D" w:rsidRDefault="00E5116D" w:rsidP="00D15C77">
            <w:pPr>
              <w:spacing w:after="120"/>
              <w:jc w:val="both"/>
              <w:rPr>
                <w:rFonts w:cs="Arial"/>
                <w:color w:val="000000" w:themeColor="text1"/>
                <w:sz w:val="22"/>
                <w:szCs w:val="22"/>
                <w:highlight w:val="white"/>
              </w:rPr>
            </w:pPr>
            <w:r w:rsidRPr="00E5116D">
              <w:rPr>
                <w:rFonts w:cs="Arial"/>
                <w:color w:val="000000" w:themeColor="text1"/>
                <w:sz w:val="22"/>
                <w:szCs w:val="22"/>
                <w:highlight w:val="white"/>
              </w:rPr>
              <w:t xml:space="preserve">Harm reduction approaches underpin effective measures to prevent BBV and STI transmission and should </w:t>
            </w:r>
            <w:r w:rsidR="00054D1B" w:rsidRPr="00E5116D">
              <w:rPr>
                <w:rFonts w:cs="Arial"/>
                <w:color w:val="000000" w:themeColor="text1"/>
                <w:sz w:val="22"/>
                <w:szCs w:val="22"/>
                <w:highlight w:val="white"/>
              </w:rPr>
              <w:t>consider</w:t>
            </w:r>
            <w:r w:rsidRPr="00E5116D">
              <w:rPr>
                <w:rFonts w:cs="Arial"/>
                <w:color w:val="000000" w:themeColor="text1"/>
                <w:sz w:val="22"/>
                <w:szCs w:val="22"/>
                <w:highlight w:val="white"/>
              </w:rPr>
              <w:t xml:space="preserve"> diversity and person-centredness.</w:t>
            </w:r>
          </w:p>
          <w:p w14:paraId="4142A323" w14:textId="2DAA7BCA" w:rsidR="00E5116D" w:rsidRPr="00D74561" w:rsidRDefault="00E5116D" w:rsidP="00D74561">
            <w:pPr>
              <w:spacing w:after="120"/>
              <w:jc w:val="both"/>
              <w:rPr>
                <w:rFonts w:cs="Arial"/>
                <w:color w:val="000000" w:themeColor="text1"/>
                <w:sz w:val="22"/>
                <w:szCs w:val="22"/>
                <w:highlight w:val="white"/>
                <w:lang w:val="en-US"/>
              </w:rPr>
            </w:pPr>
            <w:r w:rsidRPr="00E5116D">
              <w:rPr>
                <w:rFonts w:cs="Arial"/>
                <w:color w:val="000000" w:themeColor="text1"/>
                <w:sz w:val="22"/>
                <w:szCs w:val="22"/>
                <w:highlight w:val="white"/>
                <w:lang w:val="en-US"/>
              </w:rPr>
              <w:t>Grounded in justice and human rights, harm reduction aims to minimise adverse health, social</w:t>
            </w:r>
            <w:r w:rsidR="00836D33">
              <w:rPr>
                <w:rFonts w:cs="Arial"/>
                <w:color w:val="000000" w:themeColor="text1"/>
                <w:sz w:val="22"/>
                <w:szCs w:val="22"/>
                <w:highlight w:val="white"/>
                <w:lang w:val="en-US"/>
              </w:rPr>
              <w:t>,</w:t>
            </w:r>
            <w:r w:rsidRPr="00E5116D">
              <w:rPr>
                <w:rFonts w:cs="Arial"/>
                <w:color w:val="000000" w:themeColor="text1"/>
                <w:sz w:val="22"/>
                <w:szCs w:val="22"/>
                <w:highlight w:val="white"/>
                <w:lang w:val="en-US"/>
              </w:rPr>
              <w:t xml:space="preserve"> and legal impacts through policies, programs, practices, and involvement of key affected populations. It focuses on working with people without judgement, coercion, discrimination, or requiring a change in behaviour as a precondition of support.</w:t>
            </w:r>
          </w:p>
          <w:p w14:paraId="34795540" w14:textId="77777777" w:rsidR="00E5116D" w:rsidRPr="00E5116D" w:rsidRDefault="00E5116D" w:rsidP="00D15C77">
            <w:pPr>
              <w:jc w:val="both"/>
              <w:rPr>
                <w:rFonts w:cs="Arial"/>
                <w:sz w:val="22"/>
                <w:szCs w:val="22"/>
                <w:highlight w:val="white"/>
                <w:lang w:val="en-US"/>
              </w:rPr>
            </w:pPr>
          </w:p>
        </w:tc>
      </w:tr>
      <w:tr w:rsidR="00E5116D" w:rsidRPr="00E5116D" w14:paraId="6517DC35" w14:textId="77777777" w:rsidTr="00560122">
        <w:trPr>
          <w:cantSplit/>
          <w:trHeight w:val="414"/>
        </w:trPr>
        <w:tc>
          <w:tcPr>
            <w:tcW w:w="3360" w:type="dxa"/>
          </w:tcPr>
          <w:p w14:paraId="76A9490E" w14:textId="77777777" w:rsidR="00E5116D" w:rsidRPr="00E5116D" w:rsidRDefault="00E5116D" w:rsidP="00E5116D">
            <w:pPr>
              <w:rPr>
                <w:rFonts w:cs="Arial"/>
                <w:b/>
                <w:bCs/>
                <w:color w:val="000000" w:themeColor="text1"/>
                <w:sz w:val="30"/>
                <w:szCs w:val="30"/>
                <w:highlight w:val="white"/>
              </w:rPr>
            </w:pPr>
            <w:r w:rsidRPr="00E5116D">
              <w:rPr>
                <w:noProof/>
              </w:rPr>
              <w:lastRenderedPageBreak/>
              <w:drawing>
                <wp:anchor distT="0" distB="0" distL="114300" distR="114300" simplePos="0" relativeHeight="251657260" behindDoc="1" locked="0" layoutInCell="1" allowOverlap="1" wp14:anchorId="5875DEE7" wp14:editId="7FEA2E09">
                  <wp:simplePos x="0" y="0"/>
                  <wp:positionH relativeFrom="page">
                    <wp:posOffset>-1905</wp:posOffset>
                  </wp:positionH>
                  <wp:positionV relativeFrom="page">
                    <wp:posOffset>2540</wp:posOffset>
                  </wp:positionV>
                  <wp:extent cx="878840" cy="1364615"/>
                  <wp:effectExtent l="0" t="0" r="0" b="6985"/>
                  <wp:wrapNone/>
                  <wp:docPr id="143" name="Graphic 143" descr="P218C15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P218C15T2#y1">
                            <a:extLst>
                              <a:ext uri="{C183D7F6-B498-43B3-948B-1728B52AA6E4}">
                                <adec:decorative xmlns:adec="http://schemas.microsoft.com/office/drawing/2017/decorative" val="1"/>
                              </a:ext>
                            </a:extLst>
                          </pic:cNvPr>
                          <pic:cNvPicPr>
                            <a:picLocks noChangeAspect="1"/>
                          </pic:cNvPicPr>
                        </pic:nvPicPr>
                        <pic:blipFill rotWithShape="1">
                          <a:blip r:embed="rId37">
                            <a:extLst>
                              <a:ext uri="{96DAC541-7B7A-43D3-8B79-37D633B846F1}">
                                <asvg:svgBlip xmlns:asvg="http://schemas.microsoft.com/office/drawing/2016/SVG/main" r:embed="rId38"/>
                              </a:ext>
                            </a:extLst>
                          </a:blip>
                          <a:srcRect l="36761" t="26077" r="35852" b="38377"/>
                          <a:stretch/>
                        </pic:blipFill>
                        <pic:spPr>
                          <a:xfrm>
                            <a:off x="0" y="0"/>
                            <a:ext cx="878840" cy="1364615"/>
                          </a:xfrm>
                          <a:prstGeom prst="rect">
                            <a:avLst/>
                          </a:prstGeom>
                        </pic:spPr>
                      </pic:pic>
                    </a:graphicData>
                  </a:graphic>
                  <wp14:sizeRelH relativeFrom="margin">
                    <wp14:pctWidth>0</wp14:pctWidth>
                  </wp14:sizeRelH>
                  <wp14:sizeRelV relativeFrom="margin">
                    <wp14:pctHeight>0</wp14:pctHeight>
                  </wp14:sizeRelV>
                </wp:anchor>
              </w:drawing>
            </w:r>
            <w:r w:rsidRPr="00E5116D">
              <w:rPr>
                <w:noProof/>
              </w:rPr>
              <mc:AlternateContent>
                <mc:Choice Requires="wps">
                  <w:drawing>
                    <wp:anchor distT="0" distB="0" distL="114300" distR="114300" simplePos="0" relativeHeight="251657243" behindDoc="0" locked="0" layoutInCell="1" allowOverlap="1" wp14:anchorId="25EA65F7" wp14:editId="29A634B5">
                      <wp:simplePos x="0" y="0"/>
                      <wp:positionH relativeFrom="page">
                        <wp:posOffset>2540</wp:posOffset>
                      </wp:positionH>
                      <wp:positionV relativeFrom="page">
                        <wp:posOffset>1905</wp:posOffset>
                      </wp:positionV>
                      <wp:extent cx="143510" cy="1288415"/>
                      <wp:effectExtent l="0" t="0" r="8890" b="6985"/>
                      <wp:wrapSquare wrapText="bothSides"/>
                      <wp:docPr id="2115032528" name="Rectangle 2115032528" descr="P218C15T2#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288415"/>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3B83A" id="Rectangle 2115032528" o:spid="_x0000_s1026" alt="P218C15T2#y3" style="position:absolute;margin-left:.2pt;margin-top:.15pt;width:11.3pt;height:101.45pt;z-index:251657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" fillcolor="#f7941d" stroked="f" strokeweight="1pt">
                      <w10:wrap type="square" anchorx="page" anchory="page"/>
                    </v:rect>
                  </w:pict>
                </mc:Fallback>
              </mc:AlternateContent>
            </w:r>
            <w:r w:rsidRPr="00E5116D">
              <w:rPr>
                <w:noProof/>
              </w:rPr>
              <w:drawing>
                <wp:anchor distT="0" distB="0" distL="114300" distR="114300" simplePos="0" relativeHeight="251657231" behindDoc="1" locked="0" layoutInCell="1" allowOverlap="1" wp14:anchorId="0C6F4DD5" wp14:editId="6840BAAD">
                  <wp:simplePos x="0" y="0"/>
                  <wp:positionH relativeFrom="page">
                    <wp:posOffset>666750</wp:posOffset>
                  </wp:positionH>
                  <wp:positionV relativeFrom="page">
                    <wp:posOffset>693420</wp:posOffset>
                  </wp:positionV>
                  <wp:extent cx="647700" cy="573405"/>
                  <wp:effectExtent l="0" t="0" r="0" b="0"/>
                  <wp:wrapSquare wrapText="bothSides"/>
                  <wp:docPr id="814941826" name="Graphic 814941826" descr="P218C15T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41826" name="Graphic 814941826" descr="P218C15T2#y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647700" cy="573405"/>
                          </a:xfrm>
                          <a:prstGeom prst="rect">
                            <a:avLst/>
                          </a:prstGeom>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w:t xml:space="preserve"> </w:t>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5" behindDoc="0" locked="0" layoutInCell="1" allowOverlap="1" wp14:anchorId="7B082A41" wp14:editId="6BD8FC2B">
                      <wp:simplePos x="0" y="0"/>
                      <wp:positionH relativeFrom="column">
                        <wp:posOffset>304165</wp:posOffset>
                      </wp:positionH>
                      <wp:positionV relativeFrom="paragraph">
                        <wp:posOffset>4445</wp:posOffset>
                      </wp:positionV>
                      <wp:extent cx="1609725" cy="1404620"/>
                      <wp:effectExtent l="0" t="0" r="0" b="0"/>
                      <wp:wrapSquare wrapText="bothSides"/>
                      <wp:docPr id="1109099417" name="Text Box 1109099417" descr="P218C15T2TB25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09942E1" w14:textId="77777777" w:rsidR="00894F38" w:rsidRPr="005701F0" w:rsidRDefault="00894F38" w:rsidP="00E5116D">
                                  <w:pPr>
                                    <w:rPr>
                                      <w:b/>
                                      <w:bCs/>
                                      <w:sz w:val="32"/>
                                      <w:szCs w:val="32"/>
                                    </w:rPr>
                                  </w:pPr>
                                  <w:r>
                                    <w:rPr>
                                      <w:b/>
                                      <w:bCs/>
                                      <w:sz w:val="32"/>
                                      <w:szCs w:val="32"/>
                                    </w:rPr>
                                    <w:t>Shared responsibility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82A41" id="Text Box 1109099417" o:spid="_x0000_s1033" type="#_x0000_t202" alt="P218C15T2TB25bA#y1" style="position:absolute;margin-left:23.95pt;margin-top:.35pt;width:126.75pt;height:110.6pt;z-index:2516572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" filled="f">
                      <v:stroke opacity="0"/>
                      <v:textbox style="mso-fit-shape-to-text:t">
                        <w:txbxContent>
                          <w:p w14:paraId="509942E1" w14:textId="77777777" w:rsidR="00894F38" w:rsidRPr="005701F0" w:rsidRDefault="00894F38" w:rsidP="00E5116D">
                            <w:pPr>
                              <w:rPr>
                                <w:b/>
                                <w:bCs/>
                                <w:sz w:val="32"/>
                                <w:szCs w:val="32"/>
                              </w:rPr>
                            </w:pPr>
                            <w:r>
                              <w:rPr>
                                <w:b/>
                                <w:bCs/>
                                <w:sz w:val="32"/>
                                <w:szCs w:val="32"/>
                              </w:rPr>
                              <w:t>Shared responsibility</w:t>
                            </w:r>
                          </w:p>
                        </w:txbxContent>
                      </v:textbox>
                      <w10:wrap type="square"/>
                    </v:shape>
                  </w:pict>
                </mc:Fallback>
              </mc:AlternateContent>
            </w:r>
          </w:p>
        </w:tc>
        <w:tc>
          <w:tcPr>
            <w:tcW w:w="6272" w:type="dxa"/>
          </w:tcPr>
          <w:p w14:paraId="26F6C05B" w14:textId="005BC96E" w:rsidR="00E5116D" w:rsidRPr="00E5116D" w:rsidRDefault="00E5116D" w:rsidP="00D74561">
            <w:pPr>
              <w:spacing w:after="720"/>
              <w:jc w:val="both"/>
              <w:rPr>
                <w:rFonts w:cs="Arial"/>
                <w:color w:val="000000" w:themeColor="text1"/>
                <w:sz w:val="22"/>
                <w:szCs w:val="22"/>
                <w:highlight w:val="white"/>
              </w:rPr>
            </w:pPr>
            <w:r w:rsidRPr="00E5116D">
              <w:rPr>
                <w:rFonts w:cs="Arial"/>
                <w:color w:val="000000" w:themeColor="text1"/>
                <w:sz w:val="22"/>
                <w:szCs w:val="22"/>
                <w:highlight w:val="white"/>
              </w:rPr>
              <w:t>Governments and community organisations have a shared responsibility to provide the necessary information, resources, healthy public policies</w:t>
            </w:r>
            <w:r w:rsidR="00836D33">
              <w:rPr>
                <w:rFonts w:cs="Arial"/>
                <w:color w:val="000000" w:themeColor="text1"/>
                <w:sz w:val="22"/>
                <w:szCs w:val="22"/>
                <w:highlight w:val="white"/>
              </w:rPr>
              <w:t>,</w:t>
            </w:r>
            <w:r w:rsidRPr="00E5116D">
              <w:rPr>
                <w:rFonts w:cs="Arial"/>
                <w:color w:val="000000" w:themeColor="text1"/>
                <w:sz w:val="22"/>
                <w:szCs w:val="22"/>
                <w:highlight w:val="white"/>
              </w:rPr>
              <w:t xml:space="preserve"> and health-promoting environments within which individuals are better able to participate in choices conducive to good health. Stakeholders and priority populations also share responsibility to prevent transmission and inform efforts that address education and support needs.</w:t>
            </w:r>
          </w:p>
          <w:p w14:paraId="633E38DA" w14:textId="77777777" w:rsidR="00E5116D" w:rsidRPr="00E5116D" w:rsidRDefault="00E5116D" w:rsidP="00D15C77">
            <w:pPr>
              <w:jc w:val="both"/>
              <w:rPr>
                <w:rFonts w:cs="Arial"/>
                <w:color w:val="000000" w:themeColor="text1"/>
                <w:sz w:val="22"/>
                <w:szCs w:val="22"/>
                <w:highlight w:val="white"/>
              </w:rPr>
            </w:pPr>
          </w:p>
        </w:tc>
      </w:tr>
      <w:tr w:rsidR="00E5116D" w:rsidRPr="00E5116D" w14:paraId="6A77228B" w14:textId="77777777" w:rsidTr="00560122">
        <w:trPr>
          <w:cantSplit/>
          <w:trHeight w:val="3539"/>
        </w:trPr>
        <w:tc>
          <w:tcPr>
            <w:tcW w:w="3360" w:type="dxa"/>
          </w:tcPr>
          <w:p w14:paraId="5F67D55D" w14:textId="77777777" w:rsidR="00E5116D" w:rsidRPr="00E5116D" w:rsidRDefault="00E5116D" w:rsidP="00E5116D">
            <w:pPr>
              <w:rPr>
                <w:rFonts w:cs="Arial"/>
                <w:b/>
                <w:bCs/>
                <w:color w:val="000000" w:themeColor="text1"/>
                <w:sz w:val="30"/>
                <w:szCs w:val="30"/>
                <w:highlight w:val="white"/>
              </w:rPr>
            </w:pPr>
            <w:r w:rsidRPr="00E5116D">
              <w:rPr>
                <w:noProof/>
              </w:rPr>
              <mc:AlternateContent>
                <mc:Choice Requires="wps">
                  <w:drawing>
                    <wp:anchor distT="0" distB="0" distL="114300" distR="114300" simplePos="0" relativeHeight="251657244" behindDoc="0" locked="0" layoutInCell="1" allowOverlap="1" wp14:anchorId="48C82805" wp14:editId="16465E29">
                      <wp:simplePos x="0" y="0"/>
                      <wp:positionH relativeFrom="page">
                        <wp:posOffset>3810</wp:posOffset>
                      </wp:positionH>
                      <wp:positionV relativeFrom="page">
                        <wp:posOffset>0</wp:posOffset>
                      </wp:positionV>
                      <wp:extent cx="143510" cy="1929765"/>
                      <wp:effectExtent l="0" t="0" r="8890" b="0"/>
                      <wp:wrapSquare wrapText="bothSides"/>
                      <wp:docPr id="320266738" name="Rectangle 320266738" descr="P222C17T2#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929765"/>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B618" id="Rectangle 320266738" o:spid="_x0000_s1026" alt="P222C17T2#y3" style="position:absolute;margin-left:.3pt;margin-top:0;width:11.3pt;height:151.95pt;z-index:251657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" fillcolor="#f7941d" stroked="f" strokeweight="1pt">
                      <w10:wrap type="square" anchorx="page" anchory="page"/>
                    </v:rect>
                  </w:pict>
                </mc:Fallback>
              </mc:AlternateContent>
            </w:r>
            <w:r w:rsidRPr="00E5116D">
              <w:rPr>
                <w:noProof/>
              </w:rPr>
              <w:drawing>
                <wp:anchor distT="0" distB="0" distL="114300" distR="114300" simplePos="0" relativeHeight="251657232" behindDoc="1" locked="0" layoutInCell="1" allowOverlap="1" wp14:anchorId="37762775" wp14:editId="2497002C">
                  <wp:simplePos x="0" y="0"/>
                  <wp:positionH relativeFrom="page">
                    <wp:posOffset>904240</wp:posOffset>
                  </wp:positionH>
                  <wp:positionV relativeFrom="page">
                    <wp:posOffset>1502410</wp:posOffset>
                  </wp:positionV>
                  <wp:extent cx="466725" cy="397510"/>
                  <wp:effectExtent l="0" t="0" r="9525" b="2540"/>
                  <wp:wrapSquare wrapText="bothSides"/>
                  <wp:docPr id="522288315" name="Graphic 522288315" descr="P222C17T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8315" name="Graphic 522288315" descr="P222C17T2#y2">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466725" cy="397510"/>
                          </a:xfrm>
                          <a:prstGeom prst="rect">
                            <a:avLst/>
                          </a:prstGeom>
                        </pic:spPr>
                      </pic:pic>
                    </a:graphicData>
                  </a:graphic>
                  <wp14:sizeRelH relativeFrom="margin">
                    <wp14:pctWidth>0</wp14:pctWidth>
                  </wp14:sizeRelH>
                  <wp14:sizeRelV relativeFrom="margin">
                    <wp14:pctHeight>0</wp14:pctHeight>
                  </wp14:sizeRelV>
                </wp:anchor>
              </w:drawing>
            </w:r>
            <w:r w:rsidRPr="00E5116D">
              <w:rPr>
                <w:noProof/>
              </w:rPr>
              <w:drawing>
                <wp:anchor distT="0" distB="0" distL="114300" distR="114300" simplePos="0" relativeHeight="251657261" behindDoc="1" locked="0" layoutInCell="1" allowOverlap="1" wp14:anchorId="53D561F4" wp14:editId="55F51DA2">
                  <wp:simplePos x="0" y="0"/>
                  <wp:positionH relativeFrom="page">
                    <wp:posOffset>-1905</wp:posOffset>
                  </wp:positionH>
                  <wp:positionV relativeFrom="page">
                    <wp:posOffset>-3810</wp:posOffset>
                  </wp:positionV>
                  <wp:extent cx="1098550" cy="1663065"/>
                  <wp:effectExtent l="0" t="0" r="6350" b="0"/>
                  <wp:wrapNone/>
                  <wp:docPr id="157" name="Graphic 157" descr="P222C17T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phic 157" descr="P222C17T2#y1">
                            <a:extLst>
                              <a:ext uri="{C183D7F6-B498-43B3-948B-1728B52AA6E4}">
                                <adec:decorative xmlns:adec="http://schemas.microsoft.com/office/drawing/2017/decorative" val="1"/>
                              </a:ext>
                            </a:extLst>
                          </pic:cNvPr>
                          <pic:cNvPicPr>
                            <a:picLocks noChangeAspect="1"/>
                          </pic:cNvPicPr>
                        </pic:nvPicPr>
                        <pic:blipFill rotWithShape="1">
                          <a:blip r:embed="rId43">
                            <a:extLst>
                              <a:ext uri="{96DAC541-7B7A-43D3-8B79-37D633B846F1}">
                                <asvg:svgBlip xmlns:asvg="http://schemas.microsoft.com/office/drawing/2016/SVG/main" r:embed="rId44"/>
                              </a:ext>
                            </a:extLst>
                          </a:blip>
                          <a:srcRect l="35852" t="26449" r="36485" b="38493"/>
                          <a:stretch/>
                        </pic:blipFill>
                        <pic:spPr bwMode="auto">
                          <a:xfrm>
                            <a:off x="0" y="0"/>
                            <a:ext cx="1098550"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highlight w:val="white"/>
              </w:rPr>
              <w:t xml:space="preserve">  </w:t>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6" behindDoc="0" locked="0" layoutInCell="1" allowOverlap="1" wp14:anchorId="0FA980AE" wp14:editId="7CC9A182">
                      <wp:simplePos x="0" y="0"/>
                      <wp:positionH relativeFrom="column">
                        <wp:posOffset>535816</wp:posOffset>
                      </wp:positionH>
                      <wp:positionV relativeFrom="paragraph">
                        <wp:posOffset>0</wp:posOffset>
                      </wp:positionV>
                      <wp:extent cx="1632073" cy="1404620"/>
                      <wp:effectExtent l="0" t="0" r="0" b="0"/>
                      <wp:wrapSquare wrapText="bothSides"/>
                      <wp:docPr id="1113499305" name="Text Box 1113499305" descr="P222C17T2TB26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073"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2A7A14F" w14:textId="77777777" w:rsidR="00894F38" w:rsidRPr="005701F0" w:rsidRDefault="00894F38" w:rsidP="00E5116D">
                                  <w:pPr>
                                    <w:rPr>
                                      <w:b/>
                                      <w:bCs/>
                                      <w:sz w:val="32"/>
                                      <w:szCs w:val="32"/>
                                    </w:rPr>
                                  </w:pPr>
                                  <w:r w:rsidRPr="005701F0">
                                    <w:rPr>
                                      <w:b/>
                                      <w:bCs/>
                                      <w:sz w:val="32"/>
                                      <w:szCs w:val="32"/>
                                    </w:rPr>
                                    <w:t>Commitment to evidence-informed, enabling policies and programs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980AE" id="Text Box 1113499305" o:spid="_x0000_s1034" type="#_x0000_t202" alt="P222C17T2TB26bA#y1" style="position:absolute;margin-left:42.2pt;margin-top:0;width:128.5pt;height:110.6pt;z-index:25165722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" filled="f">
                      <v:stroke opacity="0"/>
                      <v:textbox style="mso-fit-shape-to-text:t">
                        <w:txbxContent>
                          <w:p w14:paraId="22A7A14F" w14:textId="77777777" w:rsidR="00894F38" w:rsidRPr="005701F0" w:rsidRDefault="00894F38" w:rsidP="00E5116D">
                            <w:pPr>
                              <w:rPr>
                                <w:b/>
                                <w:bCs/>
                                <w:sz w:val="32"/>
                                <w:szCs w:val="32"/>
                              </w:rPr>
                            </w:pPr>
                            <w:r w:rsidRPr="005701F0">
                              <w:rPr>
                                <w:b/>
                                <w:bCs/>
                                <w:sz w:val="32"/>
                                <w:szCs w:val="32"/>
                              </w:rPr>
                              <w:t>Commitment to evidence-informed, enabling policies and programs</w:t>
                            </w:r>
                          </w:p>
                        </w:txbxContent>
                      </v:textbox>
                      <w10:wrap type="square"/>
                    </v:shape>
                  </w:pict>
                </mc:Fallback>
              </mc:AlternateContent>
            </w:r>
          </w:p>
        </w:tc>
        <w:tc>
          <w:tcPr>
            <w:tcW w:w="6272" w:type="dxa"/>
          </w:tcPr>
          <w:p w14:paraId="2D713125" w14:textId="5D345ED5" w:rsidR="00E5116D" w:rsidRPr="00E5116D" w:rsidRDefault="00E5116D" w:rsidP="00D15C77">
            <w:pPr>
              <w:jc w:val="both"/>
              <w:rPr>
                <w:rFonts w:cs="Arial"/>
                <w:color w:val="000000" w:themeColor="text1"/>
                <w:sz w:val="22"/>
                <w:szCs w:val="22"/>
                <w:highlight w:val="white"/>
              </w:rPr>
            </w:pPr>
            <w:r w:rsidRPr="00E5116D">
              <w:rPr>
                <w:rFonts w:cs="Arial"/>
                <w:color w:val="000000" w:themeColor="text1"/>
                <w:sz w:val="22"/>
                <w:szCs w:val="22"/>
                <w:highlight w:val="white"/>
              </w:rPr>
              <w:t>The national response to BBV and STI is built on evidence-based</w:t>
            </w:r>
            <w:r w:rsidR="008642A5">
              <w:rPr>
                <w:rFonts w:cs="Arial"/>
                <w:color w:val="000000" w:themeColor="text1"/>
                <w:sz w:val="22"/>
                <w:szCs w:val="22"/>
                <w:highlight w:val="white"/>
              </w:rPr>
              <w:t xml:space="preserve"> and</w:t>
            </w:r>
            <w:r w:rsidRPr="00E5116D">
              <w:rPr>
                <w:rFonts w:cs="Arial"/>
                <w:color w:val="000000" w:themeColor="text1"/>
                <w:sz w:val="22"/>
                <w:szCs w:val="22"/>
                <w:highlight w:val="white"/>
              </w:rPr>
              <w:t xml:space="preserve"> high-quality research, surveillance, monitoring</w:t>
            </w:r>
            <w:r w:rsidR="00836D33">
              <w:rPr>
                <w:rFonts w:cs="Arial"/>
                <w:color w:val="000000" w:themeColor="text1"/>
                <w:sz w:val="22"/>
                <w:szCs w:val="22"/>
                <w:highlight w:val="white"/>
              </w:rPr>
              <w:t>,</w:t>
            </w:r>
            <w:r w:rsidRPr="00E5116D">
              <w:rPr>
                <w:rFonts w:cs="Arial"/>
                <w:color w:val="000000" w:themeColor="text1"/>
                <w:sz w:val="22"/>
                <w:szCs w:val="22"/>
                <w:highlight w:val="white"/>
              </w:rPr>
              <w:t xml:space="preserve"> and evaluation. A strong and constantly refined evidence base is essential to meet new challenges, evaluate current and new interventions and develop effective social policy. It is essential to use evidence-informed guidelines and service delivery innovations </w:t>
            </w:r>
            <w:r w:rsidRPr="00E5116D">
              <w:rPr>
                <w:rFonts w:cs="Arial"/>
                <w:color w:val="000000" w:themeColor="text1"/>
                <w:sz w:val="22"/>
                <w:szCs w:val="22"/>
                <w:highlight w:val="white"/>
                <w:lang w:val="en-US"/>
              </w:rPr>
              <w:t>and advocate for evidence-based policy and legislation regulating sexual and reproductive healthcare. This work must prioritise health promotion and respond to the needs and lived experiences of priority populations.</w:t>
            </w:r>
          </w:p>
        </w:tc>
      </w:tr>
      <w:tr w:rsidR="00E5116D" w:rsidRPr="00E5116D" w14:paraId="3DF187DC" w14:textId="77777777" w:rsidTr="00560122">
        <w:trPr>
          <w:cantSplit/>
          <w:trHeight w:val="2826"/>
        </w:trPr>
        <w:tc>
          <w:tcPr>
            <w:tcW w:w="3360" w:type="dxa"/>
          </w:tcPr>
          <w:p w14:paraId="777520FC" w14:textId="77777777" w:rsidR="00E5116D" w:rsidRPr="00E5116D" w:rsidRDefault="00E5116D" w:rsidP="00E5116D">
            <w:pPr>
              <w:rPr>
                <w:rFonts w:cs="Arial"/>
                <w:b/>
                <w:bCs/>
                <w:color w:val="000000" w:themeColor="text1"/>
                <w:sz w:val="30"/>
                <w:szCs w:val="30"/>
                <w:highlight w:val="white"/>
              </w:rPr>
            </w:pPr>
            <w:r w:rsidRPr="00E5116D">
              <w:rPr>
                <w:noProof/>
              </w:rPr>
              <mc:AlternateContent>
                <mc:Choice Requires="wps">
                  <w:drawing>
                    <wp:anchor distT="0" distB="0" distL="114300" distR="114300" simplePos="0" relativeHeight="251657245" behindDoc="0" locked="0" layoutInCell="1" allowOverlap="1" wp14:anchorId="2C4FFBEB" wp14:editId="4266641D">
                      <wp:simplePos x="0" y="0"/>
                      <wp:positionH relativeFrom="page">
                        <wp:posOffset>1270</wp:posOffset>
                      </wp:positionH>
                      <wp:positionV relativeFrom="page">
                        <wp:posOffset>0</wp:posOffset>
                      </wp:positionV>
                      <wp:extent cx="143510" cy="1760855"/>
                      <wp:effectExtent l="0" t="0" r="8890" b="0"/>
                      <wp:wrapSquare wrapText="bothSides"/>
                      <wp:docPr id="1185515725" name="Rectangle 1185515725" descr="P225C19T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1760855"/>
                              </a:xfrm>
                              <a:prstGeom prst="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B14DA" id="Rectangle 1185515725" o:spid="_x0000_s1026" alt="P225C19T2#y2" style="position:absolute;margin-left:.1pt;margin-top:0;width:11.3pt;height:138.65pt;z-index:251657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" fillcolor="#f7941d" stroked="f" strokeweight="1pt">
                      <w10:wrap type="square" anchorx="page" anchory="page"/>
                    </v:rect>
                  </w:pict>
                </mc:Fallback>
              </mc:AlternateContent>
            </w:r>
            <w:r w:rsidRPr="00E5116D">
              <w:rPr>
                <w:noProof/>
              </w:rPr>
              <w:drawing>
                <wp:anchor distT="0" distB="0" distL="114300" distR="114300" simplePos="0" relativeHeight="251657262" behindDoc="1" locked="0" layoutInCell="1" allowOverlap="1" wp14:anchorId="366654BE" wp14:editId="6D1B7CC8">
                  <wp:simplePos x="0" y="0"/>
                  <wp:positionH relativeFrom="page">
                    <wp:posOffset>835660</wp:posOffset>
                  </wp:positionH>
                  <wp:positionV relativeFrom="page">
                    <wp:posOffset>1142365</wp:posOffset>
                  </wp:positionV>
                  <wp:extent cx="695325" cy="608330"/>
                  <wp:effectExtent l="0" t="0" r="9525" b="1270"/>
                  <wp:wrapSquare wrapText="bothSides"/>
                  <wp:docPr id="685845382" name="Graphic 685845382" descr="P225C19T2#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45382" name="Graphic 685845382" descr="P225C19T2#y3">
                            <a:extLst>
                              <a:ext uri="{C183D7F6-B498-43B3-948B-1728B52AA6E4}">
                                <adec:decorative xmlns:adec="http://schemas.microsoft.com/office/drawing/2017/decorative" val="1"/>
                              </a:ext>
                            </a:extLst>
                          </pic:cNvPr>
                          <pic:cNvPicPr/>
                        </pic:nvPicPr>
                        <pic:blipFill rotWithShape="1">
                          <a:blip r:embed="rId45">
                            <a:extLst>
                              <a:ext uri="{96DAC541-7B7A-43D3-8B79-37D633B846F1}">
                                <asvg:svgBlip xmlns:asvg="http://schemas.microsoft.com/office/drawing/2016/SVG/main" r:embed="rId46"/>
                              </a:ext>
                            </a:extLst>
                          </a:blip>
                          <a:srcRect t="11981"/>
                          <a:stretch/>
                        </pic:blipFill>
                        <pic:spPr bwMode="auto">
                          <a:xfrm>
                            <a:off x="0" y="0"/>
                            <a:ext cx="695325" cy="60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16D">
              <w:rPr>
                <w:rFonts w:cs="Arial"/>
                <w:b/>
                <w:bCs/>
                <w:noProof/>
                <w:color w:val="000000" w:themeColor="text1"/>
                <w:sz w:val="30"/>
                <w:szCs w:val="30"/>
              </w:rPr>
              <mc:AlternateContent>
                <mc:Choice Requires="wpg">
                  <w:drawing>
                    <wp:anchor distT="0" distB="0" distL="114300" distR="114300" simplePos="0" relativeHeight="251657218" behindDoc="0" locked="0" layoutInCell="1" allowOverlap="1" wp14:anchorId="0A316887" wp14:editId="541F4749">
                      <wp:simplePos x="0" y="0"/>
                      <wp:positionH relativeFrom="page">
                        <wp:posOffset>1270</wp:posOffset>
                      </wp:positionH>
                      <wp:positionV relativeFrom="page">
                        <wp:posOffset>635</wp:posOffset>
                      </wp:positionV>
                      <wp:extent cx="1497965" cy="1428750"/>
                      <wp:effectExtent l="0" t="0" r="6985" b="0"/>
                      <wp:wrapSquare wrapText="bothSides"/>
                      <wp:docPr id="1104958898" name="Group 1104958898" descr="P225C19T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7965" cy="1428750"/>
                                <a:chOff x="0" y="0"/>
                                <a:chExt cx="2007586" cy="1800225"/>
                              </a:xfrm>
                            </wpg:grpSpPr>
                            <pic:pic xmlns:pic="http://schemas.openxmlformats.org/drawingml/2006/picture">
                              <pic:nvPicPr>
                                <pic:cNvPr id="155" name="Graphic 11"/>
                                <pic:cNvPicPr>
                                  <a:picLocks noChangeAspect="1"/>
                                </pic:cNvPicPr>
                              </pic:nvPicPr>
                              <pic:blipFill rotWithShape="1">
                                <a:blip r:embed="rId47">
                                  <a:extLst>
                                    <a:ext uri="{96DAC541-7B7A-43D3-8B79-37D633B846F1}">
                                      <asvg:svgBlip xmlns:asvg="http://schemas.microsoft.com/office/drawing/2016/SVG/main" r:embed="rId48"/>
                                    </a:ext>
                                  </a:extLst>
                                </a:blip>
                                <a:srcRect l="30198" t="26101" r="56629" b="38362"/>
                                <a:stretch/>
                              </pic:blipFill>
                              <pic:spPr>
                                <a:xfrm>
                                  <a:off x="0" y="0"/>
                                  <a:ext cx="733425" cy="1800225"/>
                                </a:xfrm>
                                <a:prstGeom prst="rect">
                                  <a:avLst/>
                                </a:prstGeom>
                              </pic:spPr>
                            </pic:pic>
                            <pic:pic xmlns:pic="http://schemas.openxmlformats.org/drawingml/2006/picture">
                              <pic:nvPicPr>
                                <pic:cNvPr id="156" name="Graphic 12"/>
                                <pic:cNvPicPr>
                                  <a:picLocks noChangeAspect="1"/>
                                </pic:cNvPicPr>
                              </pic:nvPicPr>
                              <pic:blipFill rotWithShape="1">
                                <a:blip r:embed="rId47">
                                  <a:extLst>
                                    <a:ext uri="{96DAC541-7B7A-43D3-8B79-37D633B846F1}">
                                      <asvg:svgBlip xmlns:asvg="http://schemas.microsoft.com/office/drawing/2016/SVG/main" r:embed="rId48"/>
                                    </a:ext>
                                  </a:extLst>
                                </a:blip>
                                <a:srcRect l="50630" t="26101" r="28022" b="38362"/>
                                <a:stretch/>
                              </pic:blipFill>
                              <pic:spPr>
                                <a:xfrm>
                                  <a:off x="818866" y="0"/>
                                  <a:ext cx="1188720" cy="1800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509AD7" id="Group 1104958898" o:spid="_x0000_s1026" alt="P225C19T2#y1" style="position:absolute;margin-left:.1pt;margin-top:.05pt;width:117.95pt;height:112.5pt;z-index:251657218;mso-position-horizontal-relative:page;mso-position-vertical-relative:page;mso-width-relative:margin;mso-height-relative:margin" coordsize="20075,180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24MDGgAAAIRB75/aHG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334;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">
                        <v:imagedata r:id="rId49" o:title="" croptop="17106f" cropbottom="25141f" cropleft="19791f" cropright="37112f"/>
                      </v:shape>
                      <v:shape id="Graphic 12" o:spid="_x0000_s1028" type="#_x0000_t75" style="position:absolute;left:8188;width:11887;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">
                        <v:imagedata r:id="rId49" o:title="" croptop="17106f" cropbottom="25141f" cropleft="33181f" cropright="18364f"/>
                      </v:shape>
                      <w10:wrap type="square" anchorx="page" anchory="page"/>
                    </v:group>
                  </w:pict>
                </mc:Fallback>
              </mc:AlternateContent>
            </w:r>
            <w:r w:rsidRPr="00E5116D">
              <w:rPr>
                <w:rFonts w:cs="Arial"/>
                <w:b/>
                <w:bCs/>
                <w:noProof/>
                <w:color w:val="000000" w:themeColor="text1"/>
                <w:sz w:val="30"/>
                <w:szCs w:val="30"/>
                <w:highlight w:val="white"/>
              </w:rPr>
              <mc:AlternateContent>
                <mc:Choice Requires="wps">
                  <w:drawing>
                    <wp:anchor distT="45720" distB="45720" distL="114300" distR="114300" simplePos="0" relativeHeight="251657227" behindDoc="0" locked="0" layoutInCell="1" allowOverlap="1" wp14:anchorId="6EBB3E6E" wp14:editId="2B2753D6">
                      <wp:simplePos x="0" y="0"/>
                      <wp:positionH relativeFrom="column">
                        <wp:posOffset>535816</wp:posOffset>
                      </wp:positionH>
                      <wp:positionV relativeFrom="paragraph">
                        <wp:posOffset>76835</wp:posOffset>
                      </wp:positionV>
                      <wp:extent cx="1632073" cy="1404620"/>
                      <wp:effectExtent l="0" t="0" r="0" b="0"/>
                      <wp:wrapSquare wrapText="bothSides"/>
                      <wp:docPr id="553844142" name="Text Box 553844142" descr="P225C19T2TB27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073"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3E418F0" w14:textId="77777777" w:rsidR="00894F38" w:rsidRPr="005701F0" w:rsidRDefault="00894F38" w:rsidP="00E5116D">
                                  <w:pPr>
                                    <w:rPr>
                                      <w:b/>
                                      <w:bCs/>
                                      <w:sz w:val="32"/>
                                      <w:szCs w:val="32"/>
                                    </w:rPr>
                                  </w:pPr>
                                  <w:r w:rsidRPr="005701F0">
                                    <w:rPr>
                                      <w:b/>
                                      <w:bCs/>
                                      <w:sz w:val="32"/>
                                      <w:szCs w:val="32"/>
                                    </w:rPr>
                                    <w:t>Multi-sectoral partnership and collaboration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B3E6E" id="Text Box 553844142" o:spid="_x0000_s1035" type="#_x0000_t202" alt="P225C19T2TB27bA#y1" style="position:absolute;margin-left:42.2pt;margin-top:6.05pt;width:128.5pt;height:110.6pt;z-index:2516572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" filled="f">
                      <v:stroke opacity="0"/>
                      <v:textbox style="mso-fit-shape-to-text:t">
                        <w:txbxContent>
                          <w:p w14:paraId="13E418F0" w14:textId="77777777" w:rsidR="00894F38" w:rsidRPr="005701F0" w:rsidRDefault="00894F38" w:rsidP="00E5116D">
                            <w:pPr>
                              <w:rPr>
                                <w:b/>
                                <w:bCs/>
                                <w:sz w:val="32"/>
                                <w:szCs w:val="32"/>
                              </w:rPr>
                            </w:pPr>
                            <w:r w:rsidRPr="005701F0">
                              <w:rPr>
                                <w:b/>
                                <w:bCs/>
                                <w:sz w:val="32"/>
                                <w:szCs w:val="32"/>
                              </w:rPr>
                              <w:t>Multi-sectoral partnership and collaboration</w:t>
                            </w:r>
                          </w:p>
                        </w:txbxContent>
                      </v:textbox>
                      <w10:wrap type="square"/>
                    </v:shape>
                  </w:pict>
                </mc:Fallback>
              </mc:AlternateContent>
            </w:r>
          </w:p>
        </w:tc>
        <w:tc>
          <w:tcPr>
            <w:tcW w:w="6272" w:type="dxa"/>
          </w:tcPr>
          <w:p w14:paraId="637F525D" w14:textId="306F0935" w:rsidR="00E5116D" w:rsidRPr="00E5116D" w:rsidRDefault="00E5116D" w:rsidP="00CE11DE">
            <w:pPr>
              <w:jc w:val="both"/>
              <w:rPr>
                <w:rFonts w:cs="Arial"/>
                <w:color w:val="000000" w:themeColor="text1"/>
                <w:sz w:val="22"/>
                <w:szCs w:val="22"/>
                <w:highlight w:val="white"/>
              </w:rPr>
            </w:pPr>
            <w:r w:rsidRPr="00E5116D">
              <w:rPr>
                <w:rFonts w:cs="Arial"/>
                <w:color w:val="000000" w:themeColor="text1"/>
                <w:sz w:val="22"/>
                <w:szCs w:val="22"/>
                <w:highlight w:val="white"/>
              </w:rPr>
              <w:t>Successful implementation of all the national BBV and STI strategies requires a coordinated multi-sectoral partnership and collaboration approach. This necessitates leadership from the</w:t>
            </w:r>
            <w:r w:rsidR="00DD23E5">
              <w:rPr>
                <w:rFonts w:cs="Arial"/>
                <w:color w:val="000000" w:themeColor="text1"/>
                <w:sz w:val="22"/>
                <w:szCs w:val="22"/>
                <w:highlight w:val="white"/>
              </w:rPr>
              <w:t xml:space="preserve"> </w:t>
            </w:r>
            <w:r w:rsidR="00C449AB">
              <w:rPr>
                <w:rFonts w:cs="Arial"/>
                <w:color w:val="000000" w:themeColor="text1"/>
                <w:sz w:val="22"/>
                <w:szCs w:val="22"/>
                <w:highlight w:val="white"/>
              </w:rPr>
              <w:t>C</w:t>
            </w:r>
            <w:r w:rsidR="00DD23E5">
              <w:rPr>
                <w:rFonts w:cs="Arial"/>
                <w:color w:val="000000" w:themeColor="text1"/>
                <w:sz w:val="22"/>
                <w:szCs w:val="22"/>
                <w:highlight w:val="white"/>
              </w:rPr>
              <w:t>ommonwealt</w:t>
            </w:r>
            <w:r w:rsidR="00B22466">
              <w:rPr>
                <w:rFonts w:cs="Arial"/>
                <w:color w:val="000000" w:themeColor="text1"/>
                <w:sz w:val="22"/>
                <w:szCs w:val="22"/>
                <w:highlight w:val="white"/>
              </w:rPr>
              <w:t xml:space="preserve">h, </w:t>
            </w:r>
            <w:r w:rsidRPr="00E5116D">
              <w:rPr>
                <w:rFonts w:cs="Arial"/>
                <w:color w:val="000000" w:themeColor="text1"/>
                <w:sz w:val="22"/>
                <w:szCs w:val="22"/>
                <w:highlight w:val="white"/>
              </w:rPr>
              <w:t>state</w:t>
            </w:r>
            <w:r w:rsidR="00836D33">
              <w:rPr>
                <w:rFonts w:cs="Arial"/>
                <w:color w:val="000000" w:themeColor="text1"/>
                <w:sz w:val="22"/>
                <w:szCs w:val="22"/>
                <w:highlight w:val="white"/>
              </w:rPr>
              <w:t>,</w:t>
            </w:r>
            <w:r w:rsidRPr="00E5116D">
              <w:rPr>
                <w:rFonts w:cs="Arial"/>
                <w:color w:val="000000" w:themeColor="text1"/>
                <w:sz w:val="22"/>
                <w:szCs w:val="22"/>
                <w:highlight w:val="white"/>
              </w:rPr>
              <w:t xml:space="preserve"> and territory governments. Effective partnerships must also be maintained between priority populations, national peak organisations representing the interests of communities, the clinical workforce, and researchers. These relationships are characterised by consultation and co-design, cooperative effort, clear roles and responsibilities, meaningful contributions, empowerment, accountability, respectful dialogue, </w:t>
            </w:r>
            <w:r w:rsidR="009A3F00" w:rsidRPr="00E5116D">
              <w:rPr>
                <w:rFonts w:cs="Arial"/>
                <w:color w:val="000000" w:themeColor="text1"/>
                <w:sz w:val="22"/>
                <w:szCs w:val="22"/>
                <w:highlight w:val="white"/>
              </w:rPr>
              <w:t>transparency,</w:t>
            </w:r>
            <w:r w:rsidRPr="00E5116D">
              <w:rPr>
                <w:rFonts w:cs="Arial"/>
                <w:color w:val="000000" w:themeColor="text1"/>
                <w:sz w:val="22"/>
                <w:szCs w:val="22"/>
                <w:highlight w:val="white"/>
              </w:rPr>
              <w:t xml:space="preserve"> and appropriate resourcing to achieve the goals of the strategies.</w:t>
            </w:r>
          </w:p>
          <w:p w14:paraId="2687AC81" w14:textId="77777777" w:rsidR="00E5116D" w:rsidRPr="00E5116D" w:rsidRDefault="00E5116D" w:rsidP="00E5116D">
            <w:pPr>
              <w:rPr>
                <w:rFonts w:cs="Arial"/>
                <w:color w:val="000000" w:themeColor="text1"/>
                <w:sz w:val="22"/>
                <w:szCs w:val="22"/>
                <w:highlight w:val="white"/>
              </w:rPr>
            </w:pPr>
          </w:p>
        </w:tc>
      </w:tr>
    </w:tbl>
    <w:p w14:paraId="2AA44A85" w14:textId="0EB4BBBE" w:rsidR="00D00CE5" w:rsidRDefault="00D00CE5" w:rsidP="00397CF0">
      <w:pPr>
        <w:pStyle w:val="BodyText"/>
        <w:spacing w:after="0"/>
        <w:jc w:val="both"/>
        <w:rPr>
          <w:rFonts w:cs="Arial"/>
          <w:color w:val="000000" w:themeColor="text1"/>
          <w:sz w:val="22"/>
          <w:szCs w:val="22"/>
          <w:shd w:val="clear" w:color="auto" w:fill="FFFFFF"/>
        </w:rPr>
        <w:sectPr w:rsidR="00D00CE5" w:rsidSect="00641489">
          <w:endnotePr>
            <w:numFmt w:val="decimal"/>
          </w:endnotePr>
          <w:pgSz w:w="11900" w:h="16840"/>
          <w:pgMar w:top="1134" w:right="1134" w:bottom="1134" w:left="1134" w:header="720" w:footer="720" w:gutter="0"/>
          <w:cols w:space="720"/>
          <w:docGrid w:linePitch="360"/>
        </w:sectPr>
      </w:pPr>
    </w:p>
    <w:p w14:paraId="47E6B00E" w14:textId="678F25CB" w:rsidR="00BA1F9E" w:rsidRPr="003B2996" w:rsidRDefault="003D3D35" w:rsidP="003B2996">
      <w:pPr>
        <w:pStyle w:val="Heading1"/>
        <w:rPr>
          <w:sz w:val="44"/>
          <w:szCs w:val="44"/>
        </w:rPr>
      </w:pPr>
      <w:bookmarkStart w:id="19" w:name="_Toc138151581"/>
      <w:bookmarkStart w:id="20" w:name="_Toc138173790"/>
      <w:bookmarkStart w:id="21" w:name="_Toc150160951"/>
      <w:bookmarkStart w:id="22" w:name="_Toc163737178"/>
      <w:r>
        <w:rPr>
          <w:noProof/>
          <w:sz w:val="44"/>
          <w:szCs w:val="44"/>
        </w:rPr>
        <w:lastRenderedPageBreak/>
        <mc:AlternateContent>
          <mc:Choice Requires="wps">
            <w:drawing>
              <wp:anchor distT="0" distB="0" distL="114300" distR="114300" simplePos="0" relativeHeight="251659317" behindDoc="0" locked="0" layoutInCell="1" allowOverlap="1" wp14:anchorId="2946763E" wp14:editId="2EF78D93">
                <wp:simplePos x="0" y="0"/>
                <wp:positionH relativeFrom="margin">
                  <wp:posOffset>0</wp:posOffset>
                </wp:positionH>
                <wp:positionV relativeFrom="paragraph">
                  <wp:posOffset>-244739</wp:posOffset>
                </wp:positionV>
                <wp:extent cx="4804410" cy="569343"/>
                <wp:effectExtent l="0" t="0" r="0" b="2540"/>
                <wp:wrapNone/>
                <wp:docPr id="73129937" name="Text Box 43" descr="P230TB5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04410" cy="569343"/>
                        </a:xfrm>
                        <a:prstGeom prst="rect">
                          <a:avLst/>
                        </a:prstGeom>
                        <a:solidFill>
                          <a:schemeClr val="lt1"/>
                        </a:solidFill>
                        <a:ln w="6350">
                          <a:noFill/>
                        </a:ln>
                      </wps:spPr>
                      <wps:txbx>
                        <w:txbxContent>
                          <w:p w14:paraId="2E317209" w14:textId="1B7C1DEF" w:rsidR="003D3D35" w:rsidRPr="003D3D35" w:rsidRDefault="003D3D35">
                            <w:pPr>
                              <w:rPr>
                                <w:b/>
                                <w:bCs/>
                                <w:sz w:val="44"/>
                                <w:szCs w:val="44"/>
                                <w:lang w:val="en-NZ"/>
                              </w:rPr>
                            </w:pPr>
                            <w:r w:rsidRPr="003D3D35">
                              <w:rPr>
                                <w:b/>
                                <w:bCs/>
                                <w:sz w:val="44"/>
                                <w:szCs w:val="44"/>
                                <w:lang w:val="en-NZ"/>
                              </w:rPr>
                              <w:t xml:space="preserve">3.  </w:t>
                            </w:r>
                            <w:r>
                              <w:rPr>
                                <w:b/>
                                <w:bCs/>
                                <w:sz w:val="44"/>
                                <w:szCs w:val="44"/>
                                <w:lang w:val="en-NZ"/>
                              </w:rPr>
                              <w:t>Snapshot</w:t>
                            </w:r>
                            <w:r w:rsidRPr="003D3D35">
                              <w:rPr>
                                <w:b/>
                                <w:bCs/>
                                <w:sz w:val="44"/>
                                <w:szCs w:val="44"/>
                              </w:rPr>
                              <w:t xml:space="preserve"> of STI in Australia</w:t>
                            </w:r>
                            <w:r>
                              <w:rPr>
                                <w:b/>
                                <w:bCs/>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6763E" id="Text Box 43" o:spid="_x0000_s1036" type="#_x0000_t202" alt="P230TB58#y1" style="position:absolute;left:0;text-align:left;margin-left:0;margin-top:-19.25pt;width:378.3pt;height:44.85pt;z-index:2516593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" fillcolor="white [3201]" stroked="f" strokeweight=".5pt">
                <v:textbox>
                  <w:txbxContent>
                    <w:p w14:paraId="2E317209" w14:textId="1B7C1DEF" w:rsidR="003D3D35" w:rsidRPr="003D3D35" w:rsidRDefault="003D3D35">
                      <w:pPr>
                        <w:rPr>
                          <w:b/>
                          <w:bCs/>
                          <w:sz w:val="44"/>
                          <w:szCs w:val="44"/>
                          <w:lang w:val="en-NZ"/>
                        </w:rPr>
                      </w:pPr>
                      <w:r w:rsidRPr="003D3D35">
                        <w:rPr>
                          <w:b/>
                          <w:bCs/>
                          <w:sz w:val="44"/>
                          <w:szCs w:val="44"/>
                          <w:lang w:val="en-NZ"/>
                        </w:rPr>
                        <w:t xml:space="preserve">3.  </w:t>
                      </w:r>
                      <w:r>
                        <w:rPr>
                          <w:b/>
                          <w:bCs/>
                          <w:sz w:val="44"/>
                          <w:szCs w:val="44"/>
                          <w:lang w:val="en-NZ"/>
                        </w:rPr>
                        <w:t>Snapshot</w:t>
                      </w:r>
                      <w:r w:rsidRPr="003D3D35">
                        <w:rPr>
                          <w:b/>
                          <w:bCs/>
                          <w:sz w:val="44"/>
                          <w:szCs w:val="44"/>
                        </w:rPr>
                        <w:t xml:space="preserve"> of STI in Australia</w:t>
                      </w:r>
                      <w:r>
                        <w:rPr>
                          <w:b/>
                          <w:bCs/>
                          <w:sz w:val="44"/>
                          <w:szCs w:val="44"/>
                        </w:rPr>
                        <w:t xml:space="preserve"> </w:t>
                      </w:r>
                    </w:p>
                  </w:txbxContent>
                </v:textbox>
                <w10:wrap anchorx="margin"/>
              </v:shape>
            </w:pict>
          </mc:Fallback>
        </mc:AlternateContent>
      </w:r>
      <w:r>
        <w:rPr>
          <w:noProof/>
          <w:sz w:val="44"/>
          <w:szCs w:val="44"/>
        </w:rPr>
        <mc:AlternateContent>
          <mc:Choice Requires="wpg">
            <w:drawing>
              <wp:anchor distT="0" distB="0" distL="114300" distR="114300" simplePos="0" relativeHeight="251658293" behindDoc="1" locked="0" layoutInCell="1" allowOverlap="1" wp14:anchorId="05F16564" wp14:editId="62B10E8B">
                <wp:simplePos x="0" y="0"/>
                <wp:positionH relativeFrom="page">
                  <wp:align>right</wp:align>
                </wp:positionH>
                <wp:positionV relativeFrom="paragraph">
                  <wp:posOffset>-652037</wp:posOffset>
                </wp:positionV>
                <wp:extent cx="7545070" cy="6883401"/>
                <wp:effectExtent l="0" t="0" r="0" b="0"/>
                <wp:wrapNone/>
                <wp:docPr id="1457754267" name="Group 3" descr="P230#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5070" cy="6883401"/>
                          <a:chOff x="0" y="-1701"/>
                          <a:chExt cx="7543800" cy="7351933"/>
                        </a:xfrm>
                      </wpg:grpSpPr>
                      <wps:wsp>
                        <wps:cNvPr id="57525224" name="Rectangle 1"/>
                        <wps:cNvSpPr/>
                        <wps:spPr>
                          <a:xfrm>
                            <a:off x="0" y="-1701"/>
                            <a:ext cx="7543800" cy="63848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011857" name="Rectangle 1"/>
                        <wps:cNvSpPr/>
                        <wps:spPr>
                          <a:xfrm>
                            <a:off x="0" y="1140784"/>
                            <a:ext cx="7543800" cy="6209448"/>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255A98E" id="Group 3" o:spid="_x0000_s1026" alt="P230#y3" style="position:absolute;margin-left:542.9pt;margin-top:-51.35pt;width:594.1pt;height:542pt;z-index:-251658187;mso-position-horizontal:right;mso-position-horizontal-relative:page;mso-height-relative:margin" coordorigin=",-17" coordsize="75438,7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">
                <v:rect id="Rectangle 1" o:spid="_x0000_s1027" style="position:absolute;top:-17;width:75438;height:6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" fillcolor="white [3212]" stroked="f" strokeweight="1pt"/>
                <v:rect id="Rectangle 1" o:spid="_x0000_s1028" style="position:absolute;top:11407;width:75438;height:6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" fillcolor="#f2f4f8" stroked="f" strokeweight="1pt"/>
                <w10:wrap anchorx="page"/>
              </v:group>
            </w:pict>
          </mc:Fallback>
        </mc:AlternateContent>
      </w:r>
      <w:r w:rsidR="00774FCB">
        <w:rPr>
          <w:noProof/>
          <w:sz w:val="44"/>
          <w:szCs w:val="44"/>
        </w:rPr>
        <mc:AlternateContent>
          <mc:Choice Requires="wpg">
            <w:drawing>
              <wp:anchor distT="0" distB="0" distL="114300" distR="114300" simplePos="0" relativeHeight="251657267" behindDoc="1" locked="0" layoutInCell="1" allowOverlap="1" wp14:anchorId="23A4BE03" wp14:editId="7870691C">
                <wp:simplePos x="0" y="0"/>
                <wp:positionH relativeFrom="page">
                  <wp:align>left</wp:align>
                </wp:positionH>
                <wp:positionV relativeFrom="paragraph">
                  <wp:posOffset>-523240</wp:posOffset>
                </wp:positionV>
                <wp:extent cx="7574280" cy="10706100"/>
                <wp:effectExtent l="0" t="0" r="7620" b="0"/>
                <wp:wrapNone/>
                <wp:docPr id="5" name="Group 5" descr="P230#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4280" cy="10706100"/>
                          <a:chOff x="1" y="0"/>
                          <a:chExt cx="7573322" cy="10707645"/>
                        </a:xfrm>
                      </wpg:grpSpPr>
                      <wps:wsp>
                        <wps:cNvPr id="6" name="Rectangle 1"/>
                        <wps:cNvSpPr/>
                        <wps:spPr>
                          <a:xfrm>
                            <a:off x="1" y="122824"/>
                            <a:ext cx="3774558" cy="10584821"/>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1"/>
                        <wps:cNvSpPr/>
                        <wps:spPr>
                          <a:xfrm>
                            <a:off x="13648" y="0"/>
                            <a:ext cx="7559675" cy="953557"/>
                          </a:xfrm>
                          <a:prstGeom prst="rect">
                            <a:avLst/>
                          </a:prstGeom>
                          <a:gradFill flip="none" rotWithShape="1">
                            <a:gsLst>
                              <a:gs pos="0">
                                <a:srgbClr val="FF9F1C"/>
                              </a:gs>
                              <a:gs pos="100000">
                                <a:srgbClr val="FFC000"/>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105B54D" id="Group 5" o:spid="_x0000_s1026" alt="P230#y2" style="position:absolute;margin-left:0;margin-top:-41.2pt;width:596.4pt;height:843pt;z-index:-251659213;mso-position-horizontal:left;mso-position-horizontal-relative:page" coordorigin="" coordsize="75733,10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">
                <v:rect id="Rectangle 1" o:spid="_x0000_s1027" style="position:absolute;top:1228;width:37745;height:10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" fillcolor="#f2f4f8" stroked="f" strokeweight="1pt"/>
                <v:rect id="Rectangle 1" o:spid="_x0000_s1028" style="position:absolute;left:136;width:75597;height:9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" fillcolor="#ff9f1c" stroked="f" strokeweight="1pt">
                  <v:fill color2="#ffc000" rotate="t" angle="315" focus="100%" type="gradient"/>
                </v:rect>
                <w10:wrap anchorx="page"/>
              </v:group>
            </w:pict>
          </mc:Fallback>
        </mc:AlternateContent>
      </w:r>
      <w:r w:rsidR="00722761">
        <w:rPr>
          <w:noProof/>
          <w:sz w:val="44"/>
          <w:szCs w:val="44"/>
        </w:rPr>
        <mc:AlternateContent>
          <mc:Choice Requires="wpg">
            <w:drawing>
              <wp:anchor distT="0" distB="0" distL="114300" distR="114300" simplePos="0" relativeHeight="251657263" behindDoc="1" locked="0" layoutInCell="1" allowOverlap="1" wp14:anchorId="4C4D002C" wp14:editId="0B7D4D57">
                <wp:simplePos x="0" y="0"/>
                <wp:positionH relativeFrom="column">
                  <wp:posOffset>-457200</wp:posOffset>
                </wp:positionH>
                <wp:positionV relativeFrom="paragraph">
                  <wp:posOffset>-523240</wp:posOffset>
                </wp:positionV>
                <wp:extent cx="7574400" cy="10706400"/>
                <wp:effectExtent l="0" t="0" r="7620" b="0"/>
                <wp:wrapNone/>
                <wp:docPr id="942910256" name="Group 942910256" descr="P23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4400" cy="10706400"/>
                          <a:chOff x="1" y="0"/>
                          <a:chExt cx="7573322" cy="10707645"/>
                        </a:xfrm>
                      </wpg:grpSpPr>
                      <wps:wsp>
                        <wps:cNvPr id="176" name="Rectangle 1"/>
                        <wps:cNvSpPr/>
                        <wps:spPr>
                          <a:xfrm>
                            <a:off x="1" y="122824"/>
                            <a:ext cx="3774558" cy="10584821"/>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Rectangle 1"/>
                        <wps:cNvSpPr/>
                        <wps:spPr>
                          <a:xfrm>
                            <a:off x="13648" y="0"/>
                            <a:ext cx="7559675" cy="953557"/>
                          </a:xfrm>
                          <a:prstGeom prst="rect">
                            <a:avLst/>
                          </a:prstGeom>
                          <a:gradFill flip="none" rotWithShape="1">
                            <a:gsLst>
                              <a:gs pos="0">
                                <a:srgbClr val="FF9F1C"/>
                              </a:gs>
                              <a:gs pos="100000">
                                <a:srgbClr val="FFC000"/>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C8D8C12" id="Group 942910256" o:spid="_x0000_s1026" alt="P230#y1" style="position:absolute;margin-left:-36pt;margin-top:-41.2pt;width:596.4pt;height:843pt;z-index:-251659217" coordorigin="" coordsize="75733,10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">
                <v:rect id="Rectangle 1" o:spid="_x0000_s1027" style="position:absolute;top:1228;width:37745;height:10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" fillcolor="#f2f4f8" stroked="f" strokeweight="1pt"/>
                <v:rect id="Rectangle 1" o:spid="_x0000_s1028" style="position:absolute;left:136;width:75597;height:9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" fillcolor="#ff9f1c" stroked="f" strokeweight="1pt">
                  <v:fill color2="#ffc000" rotate="t" angle="315" focus="100%" type="gradient"/>
                </v:rect>
              </v:group>
            </w:pict>
          </mc:Fallback>
        </mc:AlternateContent>
      </w:r>
      <w:r w:rsidR="00BA1F9E" w:rsidRPr="003B2996">
        <w:rPr>
          <w:sz w:val="44"/>
          <w:szCs w:val="44"/>
        </w:rPr>
        <w:t>Snapshot of STI in Australia</w:t>
      </w:r>
      <w:bookmarkEnd w:id="19"/>
      <w:bookmarkEnd w:id="20"/>
      <w:bookmarkEnd w:id="21"/>
      <w:bookmarkEnd w:id="22"/>
    </w:p>
    <w:p w14:paraId="3E7D6CF4" w14:textId="755561A0" w:rsidR="009C7E24" w:rsidRDefault="009C7E24" w:rsidP="003B2996">
      <w:pPr>
        <w:pStyle w:val="Body"/>
        <w:rPr>
          <w:rStyle w:val="Strong"/>
          <w:szCs w:val="22"/>
        </w:rPr>
      </w:pPr>
    </w:p>
    <w:p w14:paraId="1BB9A75F" w14:textId="3C991039" w:rsidR="00C61224" w:rsidRDefault="00C61224" w:rsidP="0022181C">
      <w:pPr>
        <w:pStyle w:val="Heading1"/>
        <w:rPr>
          <w:rStyle w:val="Strong"/>
          <w:szCs w:val="22"/>
        </w:rPr>
        <w:sectPr w:rsidR="00C61224" w:rsidSect="003B2996">
          <w:headerReference w:type="even" r:id="rId50"/>
          <w:headerReference w:type="default" r:id="rId51"/>
          <w:headerReference w:type="first" r:id="rId52"/>
          <w:endnotePr>
            <w:numFmt w:val="decimal"/>
          </w:endnotePr>
          <w:pgSz w:w="11900" w:h="16840"/>
          <w:pgMar w:top="709" w:right="720" w:bottom="720" w:left="720" w:header="283" w:footer="720" w:gutter="0"/>
          <w:cols w:space="720"/>
          <w:docGrid w:linePitch="360"/>
        </w:sectPr>
      </w:pPr>
    </w:p>
    <w:p w14:paraId="4BB3875A" w14:textId="6F12952B" w:rsidR="002568E5" w:rsidRPr="003B2996" w:rsidRDefault="00BA1F9E" w:rsidP="003B2996">
      <w:pPr>
        <w:spacing w:before="240" w:after="120"/>
        <w:rPr>
          <w:rStyle w:val="Strong"/>
          <w:sz w:val="32"/>
        </w:rPr>
      </w:pPr>
      <w:r w:rsidRPr="002F1F46">
        <w:rPr>
          <w:rStyle w:val="Strong"/>
          <w:rFonts w:cs="Arial"/>
          <w:color w:val="000000" w:themeColor="text1"/>
          <w:sz w:val="32"/>
          <w:szCs w:val="32"/>
        </w:rPr>
        <w:t>Wh</w:t>
      </w:r>
      <w:r w:rsidR="006936B6" w:rsidRPr="003B2996">
        <w:rPr>
          <w:rStyle w:val="Strong"/>
          <w:sz w:val="32"/>
          <w:szCs w:val="32"/>
        </w:rPr>
        <w:t>a</w:t>
      </w:r>
      <w:r w:rsidRPr="002F1F46">
        <w:rPr>
          <w:rStyle w:val="Strong"/>
          <w:rFonts w:cs="Arial"/>
          <w:color w:val="000000" w:themeColor="text1"/>
          <w:sz w:val="32"/>
          <w:szCs w:val="32"/>
        </w:rPr>
        <w:t>t are STI?</w:t>
      </w:r>
      <w:r w:rsidR="002568E5" w:rsidRPr="00032EFF">
        <w:rPr>
          <w:rStyle w:val="Strong"/>
          <w:rFonts w:cs="Arial"/>
          <w:color w:val="000000" w:themeColor="text1"/>
          <w:sz w:val="32"/>
        </w:rPr>
        <w:t xml:space="preserve"> </w:t>
      </w:r>
    </w:p>
    <w:p w14:paraId="3C617F19" w14:textId="3D270824" w:rsidR="00BA1F9E" w:rsidRPr="00442D9E" w:rsidRDefault="00BA1F9E" w:rsidP="003B2996">
      <w:pPr>
        <w:pStyle w:val="BodyText"/>
        <w:spacing w:after="0"/>
        <w:rPr>
          <w:rFonts w:cs="Arial"/>
          <w:color w:val="000000" w:themeColor="text1"/>
          <w:sz w:val="22"/>
          <w:szCs w:val="22"/>
        </w:rPr>
      </w:pPr>
      <w:r w:rsidRPr="00442D9E">
        <w:rPr>
          <w:rFonts w:cs="Arial"/>
          <w:color w:val="000000" w:themeColor="text1"/>
          <w:sz w:val="22"/>
          <w:szCs w:val="22"/>
        </w:rPr>
        <w:t>STI encompass different bacterial, viral</w:t>
      </w:r>
      <w:r w:rsidR="00FE4583">
        <w:rPr>
          <w:rFonts w:cs="Arial"/>
          <w:color w:val="000000" w:themeColor="text1"/>
          <w:sz w:val="22"/>
          <w:szCs w:val="22"/>
        </w:rPr>
        <w:t>,</w:t>
      </w:r>
      <w:r w:rsidRPr="00442D9E">
        <w:rPr>
          <w:rFonts w:cs="Arial"/>
          <w:color w:val="000000" w:themeColor="text1"/>
          <w:sz w:val="22"/>
          <w:szCs w:val="22"/>
        </w:rPr>
        <w:t xml:space="preserve"> and parasitic infections that are transmitted through sexual contact. There are four nationally notifiable STI: syphilis, gonorrhoea, chlamydia</w:t>
      </w:r>
      <w:r w:rsidR="00FE4583">
        <w:rPr>
          <w:rFonts w:cs="Arial"/>
          <w:color w:val="000000" w:themeColor="text1"/>
          <w:sz w:val="22"/>
          <w:szCs w:val="22"/>
        </w:rPr>
        <w:t>,</w:t>
      </w:r>
      <w:r w:rsidRPr="00442D9E">
        <w:rPr>
          <w:rFonts w:cs="Arial"/>
          <w:color w:val="000000" w:themeColor="text1"/>
          <w:sz w:val="22"/>
          <w:szCs w:val="22"/>
        </w:rPr>
        <w:t xml:space="preserve"> and donovanosis. Some examples of non-notifiable STI include </w:t>
      </w:r>
      <w:r w:rsidRPr="00442D9E">
        <w:rPr>
          <w:rFonts w:cs="Arial"/>
          <w:i/>
          <w:color w:val="000000" w:themeColor="text1"/>
          <w:sz w:val="22"/>
          <w:szCs w:val="22"/>
        </w:rPr>
        <w:t>trichomonas vaginalis</w:t>
      </w:r>
      <w:r w:rsidRPr="00442D9E">
        <w:rPr>
          <w:rFonts w:cs="Arial"/>
          <w:color w:val="000000" w:themeColor="text1"/>
          <w:sz w:val="22"/>
          <w:szCs w:val="22"/>
        </w:rPr>
        <w:t>, human papillomavirus (HPV), herpes simplex virus (HSV), human T-lymphotropic virus-1 (HTLV-1)</w:t>
      </w:r>
      <w:r w:rsidR="00FE4583">
        <w:rPr>
          <w:rFonts w:cs="Arial"/>
          <w:color w:val="000000" w:themeColor="text1"/>
          <w:sz w:val="22"/>
          <w:szCs w:val="22"/>
        </w:rPr>
        <w:t>,</w:t>
      </w:r>
      <w:r w:rsidRPr="00442D9E">
        <w:rPr>
          <w:rFonts w:cs="Arial"/>
          <w:color w:val="000000" w:themeColor="text1"/>
          <w:sz w:val="22"/>
          <w:szCs w:val="22"/>
        </w:rPr>
        <w:t xml:space="preserve"> and </w:t>
      </w:r>
      <w:r w:rsidRPr="00442D9E">
        <w:rPr>
          <w:rFonts w:cs="Arial"/>
          <w:i/>
          <w:color w:val="000000" w:themeColor="text1"/>
          <w:sz w:val="22"/>
          <w:szCs w:val="22"/>
        </w:rPr>
        <w:t>Mycoplasma genitalium</w:t>
      </w:r>
      <w:r w:rsidRPr="00442D9E">
        <w:rPr>
          <w:rFonts w:cs="Arial"/>
          <w:color w:val="000000" w:themeColor="text1"/>
          <w:sz w:val="22"/>
          <w:szCs w:val="22"/>
        </w:rPr>
        <w:t xml:space="preserve"> (Mgen). There are also communicable diseases, such as viral hepatitis, mpox</w:t>
      </w:r>
      <w:r w:rsidR="00FE4583">
        <w:rPr>
          <w:rFonts w:cs="Arial"/>
          <w:color w:val="000000" w:themeColor="text1"/>
          <w:sz w:val="22"/>
          <w:szCs w:val="22"/>
        </w:rPr>
        <w:t>,</w:t>
      </w:r>
      <w:r w:rsidRPr="00442D9E">
        <w:rPr>
          <w:rFonts w:cs="Arial"/>
          <w:color w:val="000000" w:themeColor="text1"/>
          <w:sz w:val="22"/>
          <w:szCs w:val="22"/>
        </w:rPr>
        <w:t xml:space="preserve"> and shigellosis, which are not typically classified as STI but can be transmitted via sexual activity. Human immunodeficiency virus (HIV) can be transmitted sexually and can also be considered a STI. In Australia, viral hepatitis and HIV are covered in their own respective strategies. </w:t>
      </w:r>
    </w:p>
    <w:p w14:paraId="0355A4D9" w14:textId="77777777" w:rsidR="00BA1F9E" w:rsidRPr="00442D9E" w:rsidRDefault="00BA1F9E" w:rsidP="003B2996">
      <w:pPr>
        <w:pStyle w:val="BodyText"/>
        <w:spacing w:after="0"/>
        <w:rPr>
          <w:rFonts w:cs="Arial"/>
          <w:color w:val="000000" w:themeColor="text1"/>
          <w:sz w:val="22"/>
          <w:szCs w:val="22"/>
        </w:rPr>
      </w:pPr>
    </w:p>
    <w:p w14:paraId="07A1C63E" w14:textId="2617DBDE" w:rsidR="00BA1F9E" w:rsidRDefault="00BA1F9E" w:rsidP="003B2996">
      <w:pPr>
        <w:pStyle w:val="BodyText"/>
        <w:spacing w:after="0"/>
        <w:rPr>
          <w:rFonts w:cs="Arial"/>
          <w:color w:val="000000" w:themeColor="text1"/>
          <w:sz w:val="22"/>
          <w:szCs w:val="22"/>
        </w:rPr>
      </w:pPr>
      <w:r w:rsidRPr="00442D9E">
        <w:rPr>
          <w:rFonts w:cs="Arial"/>
          <w:color w:val="000000" w:themeColor="text1"/>
          <w:sz w:val="22"/>
          <w:szCs w:val="22"/>
        </w:rPr>
        <w:t xml:space="preserve">See online resources from ASHM with the latest information about STI in Australia: </w:t>
      </w:r>
      <w:hyperlink r:id="rId53" w:history="1">
        <w:r w:rsidRPr="00442D9E">
          <w:rPr>
            <w:rStyle w:val="Hyperlink"/>
            <w:rFonts w:cs="Arial"/>
            <w:color w:val="000000" w:themeColor="text1"/>
            <w:sz w:val="22"/>
            <w:szCs w:val="22"/>
          </w:rPr>
          <w:t>https://sti.guidelines.org.au/</w:t>
        </w:r>
      </w:hyperlink>
      <w:r w:rsidRPr="00442D9E">
        <w:rPr>
          <w:rFonts w:cs="Arial"/>
          <w:color w:val="000000" w:themeColor="text1"/>
          <w:sz w:val="22"/>
          <w:szCs w:val="22"/>
        </w:rPr>
        <w:t>.</w:t>
      </w:r>
    </w:p>
    <w:p w14:paraId="13D88007" w14:textId="77777777" w:rsidR="00E12189" w:rsidRPr="00442D9E" w:rsidRDefault="00E12189" w:rsidP="003B2996">
      <w:pPr>
        <w:pStyle w:val="BodyText"/>
        <w:pBdr>
          <w:bottom w:val="single" w:sz="18" w:space="1" w:color="000000"/>
        </w:pBdr>
        <w:spacing w:after="0"/>
        <w:rPr>
          <w:rFonts w:cs="Arial"/>
          <w:color w:val="000000" w:themeColor="text1"/>
          <w:sz w:val="22"/>
          <w:szCs w:val="22"/>
        </w:rPr>
      </w:pPr>
    </w:p>
    <w:p w14:paraId="643EEED8" w14:textId="77777777" w:rsidR="00BA1F9E" w:rsidRPr="00442D9E" w:rsidRDefault="00BA1F9E" w:rsidP="003B2996">
      <w:pPr>
        <w:rPr>
          <w:rStyle w:val="Strong"/>
          <w:rFonts w:cs="Arial"/>
          <w:color w:val="000000" w:themeColor="text1"/>
          <w:szCs w:val="22"/>
        </w:rPr>
      </w:pPr>
    </w:p>
    <w:p w14:paraId="5D5DC8C2" w14:textId="3F044DDC" w:rsidR="00BA1F9E" w:rsidRPr="00AB4285" w:rsidRDefault="00BA1F9E" w:rsidP="003B2996">
      <w:pPr>
        <w:spacing w:after="120"/>
        <w:rPr>
          <w:rStyle w:val="Strong"/>
          <w:rFonts w:cs="Arial"/>
          <w:color w:val="000000" w:themeColor="text1"/>
          <w:sz w:val="32"/>
          <w:szCs w:val="32"/>
        </w:rPr>
      </w:pPr>
      <w:r w:rsidRPr="00AB4285">
        <w:rPr>
          <w:rStyle w:val="Strong"/>
          <w:rFonts w:cs="Arial"/>
          <w:color w:val="000000" w:themeColor="text1"/>
          <w:sz w:val="32"/>
          <w:szCs w:val="32"/>
        </w:rPr>
        <w:t>How are STI managed?</w:t>
      </w:r>
    </w:p>
    <w:p w14:paraId="751BBF4D" w14:textId="5F79506A" w:rsidR="00BA1F9E" w:rsidRPr="00442D9E" w:rsidRDefault="00BA1F9E" w:rsidP="003B2996">
      <w:pPr>
        <w:pStyle w:val="BodyText"/>
        <w:spacing w:after="0"/>
        <w:rPr>
          <w:rFonts w:cs="Arial"/>
          <w:color w:val="000000" w:themeColor="text1"/>
          <w:sz w:val="22"/>
          <w:szCs w:val="22"/>
        </w:rPr>
      </w:pPr>
      <w:r w:rsidRPr="00442D9E">
        <w:rPr>
          <w:rFonts w:cs="Arial"/>
          <w:color w:val="000000" w:themeColor="text1"/>
          <w:sz w:val="22"/>
          <w:szCs w:val="22"/>
        </w:rPr>
        <w:t>Management varies across STI, and most STI are treatable. Early detection and treatment are important in the management of all STI.</w:t>
      </w:r>
    </w:p>
    <w:p w14:paraId="4486F2DF" w14:textId="4C0EEC1E" w:rsidR="00BA1F9E" w:rsidRPr="00442D9E" w:rsidRDefault="009F183C" w:rsidP="003B2996">
      <w:pPr>
        <w:pStyle w:val="BodyText"/>
        <w:spacing w:after="0"/>
        <w:rPr>
          <w:rFonts w:cs="Arial"/>
          <w:color w:val="000000" w:themeColor="text1"/>
          <w:sz w:val="22"/>
          <w:szCs w:val="22"/>
        </w:rPr>
      </w:pPr>
      <w:r>
        <w:rPr>
          <w:noProof/>
        </w:rPr>
        <w:drawing>
          <wp:anchor distT="0" distB="0" distL="114300" distR="114300" simplePos="0" relativeHeight="251657268" behindDoc="1" locked="1" layoutInCell="1" allowOverlap="1" wp14:anchorId="522ADCE1" wp14:editId="1EB74F92">
            <wp:simplePos x="0" y="0"/>
            <wp:positionH relativeFrom="column">
              <wp:posOffset>2447925</wp:posOffset>
            </wp:positionH>
            <wp:positionV relativeFrom="paragraph">
              <wp:posOffset>90170</wp:posOffset>
            </wp:positionV>
            <wp:extent cx="982800" cy="1314000"/>
            <wp:effectExtent l="0" t="0" r="8255" b="635"/>
            <wp:wrapTight wrapText="bothSides">
              <wp:wrapPolygon edited="0">
                <wp:start x="2932" y="0"/>
                <wp:lineTo x="0" y="940"/>
                <wp:lineTo x="0" y="5951"/>
                <wp:lineTo x="3351" y="10022"/>
                <wp:lineTo x="2513" y="11588"/>
                <wp:lineTo x="2094" y="20044"/>
                <wp:lineTo x="2932" y="21297"/>
                <wp:lineTo x="12147" y="21297"/>
                <wp:lineTo x="13404" y="20044"/>
                <wp:lineTo x="19268" y="10022"/>
                <wp:lineTo x="21363" y="5638"/>
                <wp:lineTo x="21363" y="2506"/>
                <wp:lineTo x="7121" y="0"/>
                <wp:lineTo x="2932" y="0"/>
              </wp:wrapPolygon>
            </wp:wrapTight>
            <wp:docPr id="1934327819" name="Graphic 1934327819" descr="P24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27819" name="Graphic 1934327819" descr="P241#y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982800" cy="1314000"/>
                    </a:xfrm>
                    <a:prstGeom prst="rect">
                      <a:avLst/>
                    </a:prstGeom>
                  </pic:spPr>
                </pic:pic>
              </a:graphicData>
            </a:graphic>
            <wp14:sizeRelH relativeFrom="margin">
              <wp14:pctWidth>0</wp14:pctWidth>
            </wp14:sizeRelH>
            <wp14:sizeRelV relativeFrom="margin">
              <wp14:pctHeight>0</wp14:pctHeight>
            </wp14:sizeRelV>
          </wp:anchor>
        </w:drawing>
      </w:r>
    </w:p>
    <w:p w14:paraId="08201F45" w14:textId="635C5E97" w:rsidR="00BA1F9E" w:rsidRPr="00442D9E" w:rsidRDefault="00BA1F9E" w:rsidP="003B2996">
      <w:pPr>
        <w:pStyle w:val="BodyText"/>
        <w:spacing w:after="0"/>
        <w:rPr>
          <w:rFonts w:cs="Arial"/>
          <w:color w:val="000000" w:themeColor="text1"/>
          <w:sz w:val="22"/>
          <w:szCs w:val="22"/>
        </w:rPr>
      </w:pPr>
      <w:r w:rsidRPr="00442D9E">
        <w:rPr>
          <w:rFonts w:cs="Arial"/>
          <w:color w:val="000000" w:themeColor="text1"/>
          <w:sz w:val="22"/>
          <w:szCs w:val="22"/>
        </w:rPr>
        <w:t>For example, bacterial and parasitic STI, such as chlamydia, gonorrhoea</w:t>
      </w:r>
      <w:r w:rsidR="00FE4583">
        <w:rPr>
          <w:rFonts w:cs="Arial"/>
          <w:color w:val="000000" w:themeColor="text1"/>
          <w:sz w:val="22"/>
          <w:szCs w:val="22"/>
        </w:rPr>
        <w:t>,</w:t>
      </w:r>
      <w:r w:rsidRPr="00442D9E">
        <w:rPr>
          <w:rFonts w:cs="Arial"/>
          <w:color w:val="000000" w:themeColor="text1"/>
          <w:sz w:val="22"/>
          <w:szCs w:val="22"/>
        </w:rPr>
        <w:t xml:space="preserve"> and </w:t>
      </w:r>
      <w:r w:rsidRPr="00CA4C6F">
        <w:rPr>
          <w:rFonts w:cs="Arial"/>
          <w:i/>
          <w:iCs/>
          <w:color w:val="000000" w:themeColor="text1"/>
          <w:sz w:val="22"/>
          <w:szCs w:val="22"/>
        </w:rPr>
        <w:t>trichomonas vaginalis</w:t>
      </w:r>
      <w:r w:rsidRPr="00442D9E">
        <w:rPr>
          <w:rFonts w:cs="Arial"/>
          <w:color w:val="000000" w:themeColor="text1"/>
          <w:sz w:val="22"/>
          <w:szCs w:val="22"/>
        </w:rPr>
        <w:t>, are treated with antibiotics. HSV is treated with antivirals. While HPV cannot be cured, it is vaccine-preventable, and the cervical cancer and genital warts that it can cause are treatable.</w:t>
      </w:r>
    </w:p>
    <w:p w14:paraId="535C4DC4" w14:textId="33B31100" w:rsidR="00BA1F9E" w:rsidRPr="00442D9E" w:rsidRDefault="00BA1F9E" w:rsidP="003B2996">
      <w:pPr>
        <w:pStyle w:val="BodyText"/>
        <w:spacing w:after="0"/>
        <w:rPr>
          <w:rFonts w:cs="Arial"/>
          <w:color w:val="000000" w:themeColor="text1"/>
          <w:sz w:val="22"/>
          <w:szCs w:val="22"/>
        </w:rPr>
      </w:pPr>
    </w:p>
    <w:p w14:paraId="17203EC8" w14:textId="7390BDDC" w:rsidR="00BA1F9E" w:rsidRPr="00442D9E" w:rsidRDefault="00BA1F9E" w:rsidP="003B2996">
      <w:pPr>
        <w:pStyle w:val="BodyText"/>
        <w:spacing w:after="0"/>
        <w:rPr>
          <w:rFonts w:cs="Arial"/>
          <w:color w:val="000000" w:themeColor="text1"/>
          <w:sz w:val="22"/>
          <w:szCs w:val="22"/>
        </w:rPr>
      </w:pPr>
      <w:r w:rsidRPr="00442D9E">
        <w:rPr>
          <w:rFonts w:cs="Arial"/>
          <w:color w:val="000000" w:themeColor="text1"/>
          <w:sz w:val="22"/>
          <w:szCs w:val="22"/>
        </w:rPr>
        <w:t>There is currently no effective cure for HTLV-1. Rather, treatment is based on the development of HTLV-1-associated disease. Medical understanding of Mgen is rapidly evolving and treatment with antibiotics is currently recommended.</w:t>
      </w:r>
    </w:p>
    <w:p w14:paraId="4B154BAF" w14:textId="740452C1" w:rsidR="00BA1F9E" w:rsidRPr="00442D9E" w:rsidRDefault="00BA1F9E" w:rsidP="003B2996">
      <w:pPr>
        <w:pStyle w:val="BodyText"/>
        <w:spacing w:after="0"/>
        <w:rPr>
          <w:rFonts w:cs="Arial"/>
          <w:color w:val="000000" w:themeColor="text1"/>
          <w:sz w:val="22"/>
          <w:szCs w:val="22"/>
        </w:rPr>
      </w:pPr>
    </w:p>
    <w:p w14:paraId="0B0547ED" w14:textId="70459BC4" w:rsidR="00BA1F9E" w:rsidRPr="00AB4285" w:rsidRDefault="00BA1F9E" w:rsidP="00E86C4E">
      <w:pPr>
        <w:spacing w:after="120"/>
        <w:rPr>
          <w:rStyle w:val="Strong"/>
          <w:rFonts w:cs="Arial"/>
          <w:color w:val="000000" w:themeColor="text1"/>
          <w:sz w:val="32"/>
          <w:szCs w:val="32"/>
        </w:rPr>
      </w:pPr>
      <w:r w:rsidRPr="00AB4285">
        <w:rPr>
          <w:rStyle w:val="Strong"/>
          <w:rFonts w:cs="Arial"/>
          <w:color w:val="000000" w:themeColor="text1"/>
          <w:sz w:val="32"/>
          <w:szCs w:val="32"/>
        </w:rPr>
        <w:t>What health issues do STI cause?</w:t>
      </w:r>
    </w:p>
    <w:p w14:paraId="71A3DF13" w14:textId="1F1E8956" w:rsidR="007A3A4F" w:rsidRDefault="00BA1F9E" w:rsidP="00BA1F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themeColor="text1"/>
          <w:sz w:val="22"/>
          <w:szCs w:val="22"/>
        </w:rPr>
      </w:pPr>
      <w:r w:rsidRPr="00442D9E">
        <w:rPr>
          <w:rFonts w:cs="Arial"/>
          <w:color w:val="000000" w:themeColor="text1"/>
          <w:sz w:val="22"/>
          <w:szCs w:val="22"/>
        </w:rPr>
        <w:t>STI are often asymptomatic. Chlamydia is asymptomatic in 80% of people.</w:t>
      </w:r>
      <w:r w:rsidR="008B43F1">
        <w:rPr>
          <w:rFonts w:ascii="ZWAdobeF" w:hAnsi="ZWAdobeF" w:cs="ZWAdobeF"/>
          <w:sz w:val="2"/>
          <w:szCs w:val="2"/>
        </w:rPr>
        <w:t>27F</w:t>
      </w:r>
      <w:r w:rsidRPr="00442D9E">
        <w:rPr>
          <w:rFonts w:cs="Arial"/>
          <w:color w:val="000000" w:themeColor="text1"/>
          <w:sz w:val="22"/>
          <w:szCs w:val="22"/>
          <w:vertAlign w:val="superscript"/>
        </w:rPr>
        <w:endnoteReference w:id="27"/>
      </w:r>
      <w:r w:rsidRPr="00442D9E">
        <w:rPr>
          <w:rFonts w:cs="Arial"/>
          <w:color w:val="000000" w:themeColor="text1"/>
          <w:sz w:val="22"/>
          <w:szCs w:val="22"/>
        </w:rPr>
        <w:t xml:space="preserve"> Many males</w:t>
      </w:r>
      <w:r w:rsidR="00E93F7A" w:rsidRPr="00442D9E">
        <w:rPr>
          <w:rFonts w:cs="Arial"/>
          <w:color w:val="000000" w:themeColor="text1"/>
          <w:sz w:val="22"/>
          <w:szCs w:val="22"/>
        </w:rPr>
        <w:t xml:space="preserve"> </w:t>
      </w:r>
      <w:r w:rsidRPr="00442D9E">
        <w:rPr>
          <w:rFonts w:cs="Arial"/>
          <w:color w:val="000000" w:themeColor="text1"/>
          <w:sz w:val="22"/>
          <w:szCs w:val="22"/>
        </w:rPr>
        <w:t xml:space="preserve">and most females with gonorrhoea are asymptomatic or have very mild symptoms. </w:t>
      </w:r>
    </w:p>
    <w:p w14:paraId="5C9E5449" w14:textId="77777777" w:rsidR="007A3A4F" w:rsidRDefault="007A3A4F" w:rsidP="00BA1F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themeColor="text1"/>
          <w:sz w:val="22"/>
          <w:szCs w:val="22"/>
        </w:rPr>
      </w:pPr>
    </w:p>
    <w:p w14:paraId="070F3440" w14:textId="77777777" w:rsidR="00F8761C" w:rsidRDefault="00BA1F9E" w:rsidP="003B2996">
      <w:pPr>
        <w:pStyle w:val="BodyText"/>
        <w:spacing w:after="0"/>
        <w:rPr>
          <w:rFonts w:cs="Arial"/>
          <w:color w:val="000000" w:themeColor="text1"/>
          <w:sz w:val="22"/>
          <w:szCs w:val="22"/>
        </w:rPr>
      </w:pPr>
      <w:r w:rsidRPr="00442D9E">
        <w:rPr>
          <w:rFonts w:cs="Arial"/>
          <w:color w:val="000000" w:themeColor="text1"/>
          <w:sz w:val="22"/>
          <w:szCs w:val="22"/>
        </w:rPr>
        <w:t>The physical consequences of STI can have a significant impact on quality of life</w:t>
      </w:r>
      <w:r w:rsidR="00B8261D">
        <w:rPr>
          <w:rFonts w:cs="Arial"/>
          <w:color w:val="000000" w:themeColor="text1"/>
          <w:sz w:val="22"/>
          <w:szCs w:val="22"/>
        </w:rPr>
        <w:t>, and u</w:t>
      </w:r>
      <w:r w:rsidRPr="00442D9E">
        <w:rPr>
          <w:rFonts w:cs="Arial"/>
          <w:color w:val="000000" w:themeColor="text1"/>
          <w:sz w:val="22"/>
          <w:szCs w:val="22"/>
        </w:rPr>
        <w:t>ntreated STI can lead to serious complications</w:t>
      </w:r>
      <w:r w:rsidRPr="00442D9E" w:rsidDel="00B8261D">
        <w:rPr>
          <w:rFonts w:cs="Arial"/>
          <w:color w:val="000000" w:themeColor="text1"/>
          <w:sz w:val="22"/>
          <w:szCs w:val="22"/>
        </w:rPr>
        <w:t xml:space="preserve"> though the health impact varies across infections in type and severity.</w:t>
      </w:r>
      <w:r w:rsidR="00004116" w:rsidRPr="00004116">
        <w:rPr>
          <w:rFonts w:cs="Arial"/>
          <w:color w:val="000000" w:themeColor="text1"/>
          <w:sz w:val="22"/>
          <w:szCs w:val="22"/>
        </w:rPr>
        <w:t xml:space="preserve"> For example, infectious syphilis is highly variable in its presentation, and it is possible to have acquired it </w:t>
      </w:r>
      <w:r w:rsidR="00004116" w:rsidRPr="00773182">
        <w:rPr>
          <w:rFonts w:cs="Arial"/>
          <w:color w:val="000000" w:themeColor="text1"/>
          <w:sz w:val="22"/>
          <w:szCs w:val="22"/>
        </w:rPr>
        <w:t>years before symptoms present, leading to higher chances of onward transmission.</w:t>
      </w:r>
      <w:r w:rsidRPr="00442D9E">
        <w:rPr>
          <w:rFonts w:cs="Arial"/>
          <w:color w:val="000000" w:themeColor="text1"/>
          <w:sz w:val="22"/>
          <w:szCs w:val="22"/>
        </w:rPr>
        <w:t xml:space="preserve"> </w:t>
      </w:r>
    </w:p>
    <w:p w14:paraId="5E5A349F" w14:textId="77777777" w:rsidR="00F8761C" w:rsidRDefault="00F8761C" w:rsidP="003B2996">
      <w:pPr>
        <w:pStyle w:val="BodyText"/>
        <w:spacing w:after="0"/>
        <w:rPr>
          <w:rFonts w:cs="Arial"/>
          <w:color w:val="000000" w:themeColor="text1"/>
          <w:sz w:val="22"/>
          <w:szCs w:val="22"/>
        </w:rPr>
      </w:pPr>
    </w:p>
    <w:p w14:paraId="4FEE823C" w14:textId="1DA8588F" w:rsidR="00BA1F9E" w:rsidRPr="00442D9E" w:rsidRDefault="00BA1F9E" w:rsidP="003B2996">
      <w:pPr>
        <w:pStyle w:val="BodyText"/>
        <w:spacing w:after="0"/>
        <w:rPr>
          <w:rFonts w:cs="Arial"/>
          <w:color w:val="000000" w:themeColor="text1"/>
          <w:sz w:val="22"/>
          <w:szCs w:val="22"/>
        </w:rPr>
      </w:pPr>
      <w:r w:rsidRPr="00442D9E" w:rsidDel="00B8261D">
        <w:rPr>
          <w:rFonts w:cs="Arial"/>
          <w:color w:val="000000" w:themeColor="text1"/>
          <w:sz w:val="22"/>
          <w:szCs w:val="22"/>
        </w:rPr>
        <w:t xml:space="preserve">Direct and indirect acute </w:t>
      </w:r>
      <w:r w:rsidRPr="00442D9E">
        <w:rPr>
          <w:rFonts w:cs="Arial"/>
          <w:color w:val="000000" w:themeColor="text1"/>
          <w:sz w:val="22"/>
          <w:szCs w:val="22"/>
        </w:rPr>
        <w:t xml:space="preserve">health consequences </w:t>
      </w:r>
      <w:r w:rsidR="00B8261D">
        <w:rPr>
          <w:rFonts w:cs="Arial"/>
          <w:color w:val="000000" w:themeColor="text1"/>
          <w:sz w:val="22"/>
          <w:szCs w:val="22"/>
        </w:rPr>
        <w:t xml:space="preserve">can </w:t>
      </w:r>
      <w:r w:rsidRPr="00442D9E">
        <w:rPr>
          <w:rFonts w:cs="Arial"/>
          <w:color w:val="000000" w:themeColor="text1"/>
          <w:sz w:val="22"/>
          <w:szCs w:val="22"/>
        </w:rPr>
        <w:t>include:</w:t>
      </w:r>
    </w:p>
    <w:p w14:paraId="0C071EFA" w14:textId="79DB5A7A" w:rsidR="00BA1F9E" w:rsidRPr="00442D9E" w:rsidRDefault="004961AC" w:rsidP="008B43F1">
      <w:pPr>
        <w:pStyle w:val="1Dot-point"/>
        <w:numPr>
          <w:ilvl w:val="0"/>
          <w:numId w:val="26"/>
        </w:numPr>
        <w:rPr>
          <w:rFonts w:cs="Arial"/>
          <w:b/>
          <w:bCs/>
        </w:rPr>
      </w:pPr>
      <w:r>
        <w:rPr>
          <w:rFonts w:cs="Arial"/>
        </w:rPr>
        <w:t>p</w:t>
      </w:r>
      <w:r w:rsidR="00BA1F9E" w:rsidRPr="00442D9E">
        <w:rPr>
          <w:rFonts w:cs="Arial"/>
        </w:rPr>
        <w:t>ain and discomfort</w:t>
      </w:r>
    </w:p>
    <w:p w14:paraId="083C14DF" w14:textId="5D782842" w:rsidR="00BA1F9E" w:rsidRPr="00442D9E" w:rsidRDefault="004961AC" w:rsidP="008B43F1">
      <w:pPr>
        <w:pStyle w:val="1Dot-point"/>
        <w:numPr>
          <w:ilvl w:val="0"/>
          <w:numId w:val="26"/>
        </w:numPr>
        <w:rPr>
          <w:rFonts w:cs="Arial"/>
          <w:b/>
          <w:bCs/>
        </w:rPr>
      </w:pPr>
      <w:r>
        <w:rPr>
          <w:rFonts w:cs="Arial"/>
        </w:rPr>
        <w:t>e</w:t>
      </w:r>
      <w:r w:rsidR="00BA1F9E" w:rsidRPr="00442D9E">
        <w:rPr>
          <w:rFonts w:cs="Arial"/>
        </w:rPr>
        <w:t>ctopic pregnancy</w:t>
      </w:r>
    </w:p>
    <w:p w14:paraId="03F95D65" w14:textId="44872726" w:rsidR="00BA1F9E" w:rsidRPr="00442D9E" w:rsidRDefault="004961AC" w:rsidP="008B43F1">
      <w:pPr>
        <w:pStyle w:val="1Dot-point"/>
        <w:numPr>
          <w:ilvl w:val="0"/>
          <w:numId w:val="26"/>
        </w:numPr>
        <w:rPr>
          <w:rFonts w:cs="Arial"/>
          <w:b/>
          <w:bCs/>
        </w:rPr>
      </w:pPr>
      <w:r>
        <w:rPr>
          <w:rFonts w:cs="Arial"/>
        </w:rPr>
        <w:t>m</w:t>
      </w:r>
      <w:r w:rsidR="00BA1F9E" w:rsidRPr="00442D9E">
        <w:rPr>
          <w:rFonts w:cs="Arial"/>
        </w:rPr>
        <w:t>iscarriage</w:t>
      </w:r>
    </w:p>
    <w:p w14:paraId="1080AFE1" w14:textId="5F5E75C5" w:rsidR="00BA1F9E" w:rsidRPr="00442D9E" w:rsidRDefault="004961AC" w:rsidP="008B43F1">
      <w:pPr>
        <w:pStyle w:val="1Dot-point"/>
        <w:numPr>
          <w:ilvl w:val="0"/>
          <w:numId w:val="26"/>
        </w:numPr>
        <w:rPr>
          <w:rFonts w:cs="Arial"/>
          <w:b/>
          <w:bCs/>
        </w:rPr>
      </w:pPr>
      <w:r>
        <w:rPr>
          <w:rFonts w:cs="Arial"/>
        </w:rPr>
        <w:t>f</w:t>
      </w:r>
      <w:r w:rsidR="00BA1F9E" w:rsidRPr="00442D9E">
        <w:rPr>
          <w:rFonts w:cs="Arial"/>
        </w:rPr>
        <w:t>oetal and neonatal death</w:t>
      </w:r>
    </w:p>
    <w:p w14:paraId="33E80974" w14:textId="2CA441C4" w:rsidR="00BA1F9E" w:rsidRPr="00442D9E" w:rsidRDefault="004961AC" w:rsidP="008B43F1">
      <w:pPr>
        <w:pStyle w:val="1Dot-point"/>
        <w:numPr>
          <w:ilvl w:val="0"/>
          <w:numId w:val="26"/>
        </w:numPr>
        <w:rPr>
          <w:rFonts w:cs="Arial"/>
        </w:rPr>
      </w:pPr>
      <w:r>
        <w:rPr>
          <w:rFonts w:cs="Arial"/>
        </w:rPr>
        <w:t>t</w:t>
      </w:r>
      <w:r w:rsidR="00BA1F9E" w:rsidRPr="00442D9E">
        <w:rPr>
          <w:rFonts w:cs="Arial"/>
        </w:rPr>
        <w:t>hroat, anal and cervical cancers</w:t>
      </w:r>
      <w:r w:rsidR="00ED3BE2" w:rsidRPr="00442D9E">
        <w:rPr>
          <w:rFonts w:cs="Arial"/>
        </w:rPr>
        <w:t>.</w:t>
      </w:r>
    </w:p>
    <w:p w14:paraId="67BF8240" w14:textId="77777777" w:rsidR="00BA1F9E" w:rsidRPr="00442D9E" w:rsidRDefault="00BA1F9E" w:rsidP="003B2996">
      <w:pPr>
        <w:pStyle w:val="BodyText"/>
        <w:spacing w:after="0"/>
        <w:rPr>
          <w:rFonts w:cs="Arial"/>
          <w:color w:val="000000" w:themeColor="text1"/>
          <w:sz w:val="22"/>
          <w:szCs w:val="22"/>
        </w:rPr>
      </w:pPr>
    </w:p>
    <w:p w14:paraId="225C2917" w14:textId="4239CED2" w:rsidR="00BA1F9E" w:rsidRPr="00442D9E" w:rsidRDefault="00BA1F9E" w:rsidP="003B2996">
      <w:pPr>
        <w:pStyle w:val="BodyText"/>
        <w:spacing w:after="0"/>
        <w:rPr>
          <w:rFonts w:cs="Arial"/>
          <w:color w:val="000000" w:themeColor="text1"/>
          <w:sz w:val="22"/>
          <w:szCs w:val="22"/>
        </w:rPr>
      </w:pPr>
      <w:r w:rsidRPr="00442D9E" w:rsidDel="00B8261D">
        <w:rPr>
          <w:rFonts w:cs="Arial"/>
          <w:color w:val="000000" w:themeColor="text1"/>
          <w:sz w:val="22"/>
          <w:szCs w:val="22"/>
        </w:rPr>
        <w:t>Direct and indirect chronic</w:t>
      </w:r>
      <w:r w:rsidR="00B8261D">
        <w:rPr>
          <w:rFonts w:cs="Arial"/>
          <w:color w:val="000000" w:themeColor="text1"/>
          <w:sz w:val="22"/>
          <w:szCs w:val="22"/>
        </w:rPr>
        <w:t xml:space="preserve"> </w:t>
      </w:r>
      <w:r w:rsidRPr="00442D9E">
        <w:rPr>
          <w:rFonts w:cs="Arial"/>
          <w:color w:val="000000" w:themeColor="text1"/>
          <w:sz w:val="22"/>
          <w:szCs w:val="22"/>
        </w:rPr>
        <w:t xml:space="preserve">health consequences </w:t>
      </w:r>
      <w:r w:rsidR="00B8261D">
        <w:rPr>
          <w:rFonts w:cs="Arial"/>
          <w:color w:val="000000" w:themeColor="text1"/>
          <w:sz w:val="22"/>
          <w:szCs w:val="22"/>
        </w:rPr>
        <w:t xml:space="preserve">can </w:t>
      </w:r>
      <w:r w:rsidRPr="00442D9E">
        <w:rPr>
          <w:rFonts w:cs="Arial"/>
          <w:color w:val="000000" w:themeColor="text1"/>
          <w:sz w:val="22"/>
          <w:szCs w:val="22"/>
        </w:rPr>
        <w:t>include:</w:t>
      </w:r>
    </w:p>
    <w:p w14:paraId="44A12BF3" w14:textId="74B82BDD" w:rsidR="00BA1F9E" w:rsidRPr="00442D9E" w:rsidRDefault="004961AC" w:rsidP="008B43F1">
      <w:pPr>
        <w:pStyle w:val="1Dot-point"/>
        <w:numPr>
          <w:ilvl w:val="0"/>
          <w:numId w:val="27"/>
        </w:numPr>
        <w:rPr>
          <w:rFonts w:cs="Arial"/>
        </w:rPr>
      </w:pPr>
      <w:r>
        <w:rPr>
          <w:rFonts w:cs="Arial"/>
        </w:rPr>
        <w:t>p</w:t>
      </w:r>
      <w:r w:rsidR="00BA1F9E" w:rsidRPr="00442D9E">
        <w:rPr>
          <w:rFonts w:cs="Arial"/>
        </w:rPr>
        <w:t xml:space="preserve">elvic inflammatory disease (PID) and its complications, such as chronic pelvic pain, </w:t>
      </w:r>
      <w:r w:rsidR="00BA1F9E" w:rsidRPr="00442D9E" w:rsidDel="00B8261D">
        <w:rPr>
          <w:rFonts w:cs="Arial"/>
        </w:rPr>
        <w:t>infertility</w:t>
      </w:r>
      <w:r w:rsidR="00B8261D" w:rsidRPr="00442D9E">
        <w:rPr>
          <w:rFonts w:cs="Arial"/>
        </w:rPr>
        <w:t>,</w:t>
      </w:r>
      <w:r w:rsidR="00BA1F9E" w:rsidRPr="00442D9E">
        <w:rPr>
          <w:rFonts w:cs="Arial"/>
        </w:rPr>
        <w:t xml:space="preserve"> and pelvic abscess</w:t>
      </w:r>
    </w:p>
    <w:p w14:paraId="761FE5E3" w14:textId="2C33952C" w:rsidR="00BA1F9E" w:rsidRPr="00442D9E" w:rsidRDefault="004961AC" w:rsidP="008B43F1">
      <w:pPr>
        <w:pStyle w:val="1Dot-point"/>
        <w:numPr>
          <w:ilvl w:val="0"/>
          <w:numId w:val="27"/>
        </w:numPr>
        <w:rPr>
          <w:rFonts w:cs="Arial"/>
        </w:rPr>
      </w:pPr>
      <w:r>
        <w:rPr>
          <w:rFonts w:cs="Arial"/>
        </w:rPr>
        <w:t>i</w:t>
      </w:r>
      <w:r w:rsidR="00BA1F9E" w:rsidRPr="00442D9E">
        <w:rPr>
          <w:rFonts w:cs="Arial"/>
        </w:rPr>
        <w:t>nfertility</w:t>
      </w:r>
    </w:p>
    <w:p w14:paraId="40C322C9" w14:textId="44AC668E" w:rsidR="00BA1F9E" w:rsidRPr="00442D9E" w:rsidRDefault="004961AC" w:rsidP="008B43F1">
      <w:pPr>
        <w:pStyle w:val="1Dot-point"/>
        <w:numPr>
          <w:ilvl w:val="0"/>
          <w:numId w:val="27"/>
        </w:numPr>
        <w:rPr>
          <w:rFonts w:cs="Arial"/>
        </w:rPr>
      </w:pPr>
      <w:r>
        <w:rPr>
          <w:rFonts w:cs="Arial"/>
        </w:rPr>
        <w:t>u</w:t>
      </w:r>
      <w:r w:rsidR="00BA1F9E" w:rsidRPr="00442D9E">
        <w:rPr>
          <w:rFonts w:cs="Arial"/>
        </w:rPr>
        <w:t xml:space="preserve">rethral strictures </w:t>
      </w:r>
    </w:p>
    <w:p w14:paraId="191A5376" w14:textId="5280CC60" w:rsidR="00BA1F9E" w:rsidRPr="00442D9E" w:rsidRDefault="004961AC" w:rsidP="008B43F1">
      <w:pPr>
        <w:pStyle w:val="1Dot-point"/>
        <w:numPr>
          <w:ilvl w:val="0"/>
          <w:numId w:val="27"/>
        </w:numPr>
        <w:rPr>
          <w:rFonts w:cs="Arial"/>
        </w:rPr>
      </w:pPr>
      <w:r>
        <w:rPr>
          <w:rFonts w:cs="Arial"/>
        </w:rPr>
        <w:t>f</w:t>
      </w:r>
      <w:r w:rsidR="00BA1F9E" w:rsidRPr="00442D9E">
        <w:rPr>
          <w:rFonts w:cs="Arial"/>
        </w:rPr>
        <w:t>acilitation of HIV transmission</w:t>
      </w:r>
    </w:p>
    <w:p w14:paraId="22009290" w14:textId="7D7A71F3" w:rsidR="00BA1F9E" w:rsidRPr="00442D9E" w:rsidRDefault="00592280" w:rsidP="008B43F1">
      <w:pPr>
        <w:pStyle w:val="1Dot-point"/>
        <w:numPr>
          <w:ilvl w:val="0"/>
          <w:numId w:val="27"/>
        </w:numPr>
        <w:rPr>
          <w:rFonts w:cs="Arial"/>
        </w:rPr>
      </w:pPr>
      <w:r>
        <w:rPr>
          <w:rFonts w:cs="Arial"/>
        </w:rPr>
        <w:t>changes to cells which can lead to cancer</w:t>
      </w:r>
    </w:p>
    <w:p w14:paraId="0B0356BD" w14:textId="2B543EF1" w:rsidR="00BA1F9E" w:rsidRPr="00442D9E" w:rsidRDefault="004961AC" w:rsidP="008B43F1">
      <w:pPr>
        <w:pStyle w:val="1Dot-point"/>
        <w:numPr>
          <w:ilvl w:val="0"/>
          <w:numId w:val="27"/>
        </w:numPr>
        <w:rPr>
          <w:rFonts w:cs="Arial"/>
        </w:rPr>
      </w:pPr>
      <w:r>
        <w:rPr>
          <w:rFonts w:cs="Arial"/>
        </w:rPr>
        <w:t>c</w:t>
      </w:r>
      <w:r w:rsidR="00BA1F9E" w:rsidRPr="00442D9E">
        <w:rPr>
          <w:rFonts w:cs="Arial"/>
        </w:rPr>
        <w:t>ongenital defects</w:t>
      </w:r>
      <w:r w:rsidR="00BA14EC">
        <w:rPr>
          <w:rFonts w:cs="Arial"/>
        </w:rPr>
        <w:t xml:space="preserve"> </w:t>
      </w:r>
      <w:r w:rsidR="00BA1F9E" w:rsidRPr="00442D9E">
        <w:rPr>
          <w:rFonts w:cs="Arial"/>
        </w:rPr>
        <w:t>and severe long-term disability</w:t>
      </w:r>
    </w:p>
    <w:p w14:paraId="1A233B86" w14:textId="57772E9D" w:rsidR="00BA1F9E" w:rsidRPr="00442D9E" w:rsidRDefault="004961AC" w:rsidP="008B43F1">
      <w:pPr>
        <w:pStyle w:val="1Dot-point"/>
        <w:numPr>
          <w:ilvl w:val="0"/>
          <w:numId w:val="27"/>
        </w:numPr>
        <w:rPr>
          <w:rFonts w:cs="Arial"/>
        </w:rPr>
      </w:pPr>
      <w:r>
        <w:rPr>
          <w:rFonts w:cs="Arial"/>
        </w:rPr>
        <w:t>n</w:t>
      </w:r>
      <w:r w:rsidR="00BA1F9E" w:rsidRPr="00442D9E">
        <w:rPr>
          <w:rFonts w:cs="Arial"/>
        </w:rPr>
        <w:t>eurological disease, including deafness and blindness</w:t>
      </w:r>
      <w:r w:rsidR="00ED3BE2" w:rsidRPr="00442D9E">
        <w:rPr>
          <w:rFonts w:cs="Arial"/>
        </w:rPr>
        <w:t>.</w:t>
      </w:r>
    </w:p>
    <w:p w14:paraId="54AF3342" w14:textId="77777777" w:rsidR="00BA1F9E" w:rsidRPr="00442D9E" w:rsidRDefault="00BA1F9E" w:rsidP="003B2996">
      <w:pPr>
        <w:pStyle w:val="BodyText"/>
        <w:spacing w:after="0"/>
        <w:rPr>
          <w:rFonts w:cs="Arial"/>
          <w:color w:val="000000" w:themeColor="text1"/>
          <w:sz w:val="22"/>
          <w:szCs w:val="22"/>
        </w:rPr>
      </w:pPr>
    </w:p>
    <w:p w14:paraId="52C3330A" w14:textId="2225B64D" w:rsidR="0071232F" w:rsidRPr="00D74561" w:rsidRDefault="007729CC" w:rsidP="00D74561">
      <w:pPr>
        <w:pStyle w:val="BodyText"/>
        <w:spacing w:after="0"/>
        <w:rPr>
          <w:rStyle w:val="Strong"/>
          <w:rFonts w:cs="Arial"/>
          <w:b w:val="0"/>
          <w:bCs w:val="0"/>
          <w:color w:val="000000" w:themeColor="text1"/>
          <w:szCs w:val="22"/>
        </w:rPr>
      </w:pPr>
      <w:r>
        <w:rPr>
          <w:noProof/>
        </w:rPr>
        <w:drawing>
          <wp:anchor distT="0" distB="0" distL="114300" distR="114300" simplePos="0" relativeHeight="251657264" behindDoc="1" locked="1" layoutInCell="1" allowOverlap="1" wp14:anchorId="012BE762" wp14:editId="797444F7">
            <wp:simplePos x="0" y="0"/>
            <wp:positionH relativeFrom="margin">
              <wp:align>right</wp:align>
            </wp:positionH>
            <wp:positionV relativeFrom="paragraph">
              <wp:posOffset>1155700</wp:posOffset>
            </wp:positionV>
            <wp:extent cx="1098000" cy="1202400"/>
            <wp:effectExtent l="0" t="0" r="6985" b="0"/>
            <wp:wrapSquare wrapText="bothSides"/>
            <wp:docPr id="1223182495" name="Graphic 1223182495" descr="P26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82495" name="Graphic 1223182495" descr="P267#y1">
                      <a:extLst>
                        <a:ext uri="{C183D7F6-B498-43B3-948B-1728B52AA6E4}">
                          <adec:decorative xmlns:adec="http://schemas.microsoft.com/office/drawing/2017/decorative" val="1"/>
                        </a:ext>
                      </a:extLst>
                    </pic:cNvPr>
                    <pic:cNvPicPr/>
                  </pic:nvPicPr>
                  <pic:blipFill>
                    <a:blip r:embed="rId56">
                      <a:extLst>
                        <a:ext uri="{96DAC541-7B7A-43D3-8B79-37D633B846F1}">
                          <asvg:svgBlip xmlns:asvg="http://schemas.microsoft.com/office/drawing/2016/SVG/main" r:embed="rId57"/>
                        </a:ext>
                      </a:extLst>
                    </a:blip>
                    <a:stretch>
                      <a:fillRect/>
                    </a:stretch>
                  </pic:blipFill>
                  <pic:spPr>
                    <a:xfrm>
                      <a:off x="0" y="0"/>
                      <a:ext cx="1098000" cy="1202400"/>
                    </a:xfrm>
                    <a:prstGeom prst="rect">
                      <a:avLst/>
                    </a:prstGeom>
                  </pic:spPr>
                </pic:pic>
              </a:graphicData>
            </a:graphic>
            <wp14:sizeRelH relativeFrom="margin">
              <wp14:pctWidth>0</wp14:pctWidth>
            </wp14:sizeRelH>
            <wp14:sizeRelV relativeFrom="margin">
              <wp14:pctHeight>0</wp14:pctHeight>
            </wp14:sizeRelV>
          </wp:anchor>
        </w:drawing>
      </w:r>
      <w:r w:rsidR="00BA1F9E" w:rsidRPr="00442D9E">
        <w:rPr>
          <w:rFonts w:cs="Arial"/>
          <w:color w:val="000000" w:themeColor="text1"/>
          <w:sz w:val="22"/>
          <w:szCs w:val="22"/>
        </w:rPr>
        <w:t xml:space="preserve">Stigma relating to STI can build barriers to people accessing early testing and treatment and create delays in partner notification and management. </w:t>
      </w:r>
      <w:r w:rsidR="00BA1F9E" w:rsidRPr="00442D9E">
        <w:rPr>
          <w:rStyle w:val="None"/>
          <w:rFonts w:cs="Arial"/>
          <w:color w:val="000000" w:themeColor="text1"/>
          <w:sz w:val="22"/>
          <w:szCs w:val="22"/>
          <w:u w:color="000000"/>
          <w:lang w:val="en-US"/>
        </w:rPr>
        <w:t xml:space="preserve">Stigma can originate from external sources, such as interpersonal relationships or messaging in society and culture and </w:t>
      </w:r>
      <w:r w:rsidR="00BA1F9E" w:rsidRPr="00442D9E">
        <w:rPr>
          <w:rFonts w:cs="Arial"/>
          <w:color w:val="000000" w:themeColor="text1"/>
          <w:sz w:val="22"/>
          <w:szCs w:val="22"/>
        </w:rPr>
        <w:t>can also be internalised. Talking about STI with current and future sexual partners can be challenging, and communication skills for discussing sexual health should form part of the advice given throughout screening, diagnosis</w:t>
      </w:r>
      <w:r w:rsidR="00157320">
        <w:rPr>
          <w:rFonts w:cs="Arial"/>
          <w:color w:val="000000" w:themeColor="text1"/>
          <w:sz w:val="22"/>
          <w:szCs w:val="22"/>
        </w:rPr>
        <w:t>,</w:t>
      </w:r>
      <w:r w:rsidR="00BA1F9E" w:rsidRPr="00442D9E">
        <w:rPr>
          <w:rFonts w:cs="Arial"/>
          <w:color w:val="000000" w:themeColor="text1"/>
          <w:sz w:val="22"/>
          <w:szCs w:val="22"/>
        </w:rPr>
        <w:t xml:space="preserve"> and treatment of STI.</w:t>
      </w:r>
    </w:p>
    <w:p w14:paraId="025D9E1E" w14:textId="77777777" w:rsidR="00D74561" w:rsidRDefault="00D74561">
      <w:pPr>
        <w:rPr>
          <w:rStyle w:val="Strong"/>
          <w:rFonts w:cs="Arial"/>
          <w:color w:val="000000" w:themeColor="text1"/>
          <w:sz w:val="32"/>
          <w:szCs w:val="32"/>
        </w:rPr>
      </w:pPr>
      <w:r>
        <w:rPr>
          <w:rStyle w:val="Strong"/>
          <w:rFonts w:cs="Arial"/>
          <w:color w:val="000000" w:themeColor="text1"/>
          <w:sz w:val="32"/>
          <w:szCs w:val="32"/>
        </w:rPr>
        <w:br w:type="page"/>
      </w:r>
    </w:p>
    <w:p w14:paraId="0B2844D7" w14:textId="1BCF7F91" w:rsidR="00BA1F9E" w:rsidRPr="00AC3548" w:rsidRDefault="00BA1F9E" w:rsidP="00E86C4E">
      <w:pPr>
        <w:spacing w:after="120"/>
        <w:rPr>
          <w:rStyle w:val="Strong"/>
          <w:rFonts w:cs="Arial"/>
          <w:color w:val="000000" w:themeColor="text1"/>
          <w:sz w:val="32"/>
          <w:szCs w:val="32"/>
        </w:rPr>
      </w:pPr>
      <w:r w:rsidRPr="00AC3548">
        <w:rPr>
          <w:rStyle w:val="Strong"/>
          <w:rFonts w:cs="Arial"/>
          <w:color w:val="000000" w:themeColor="text1"/>
          <w:sz w:val="32"/>
          <w:szCs w:val="32"/>
        </w:rPr>
        <w:lastRenderedPageBreak/>
        <w:t>Prevention</w:t>
      </w:r>
    </w:p>
    <w:p w14:paraId="607DCDE6" w14:textId="77777777" w:rsidR="00BA1F9E" w:rsidRPr="00442D9E" w:rsidRDefault="00BA1F9E" w:rsidP="003B2996">
      <w:pPr>
        <w:pStyle w:val="BodyText"/>
        <w:spacing w:after="0"/>
        <w:rPr>
          <w:rFonts w:cs="Arial"/>
          <w:color w:val="000000" w:themeColor="text1"/>
          <w:sz w:val="22"/>
          <w:szCs w:val="22"/>
        </w:rPr>
      </w:pPr>
      <w:r w:rsidRPr="00442D9E">
        <w:rPr>
          <w:rFonts w:cs="Arial"/>
          <w:color w:val="000000" w:themeColor="text1"/>
          <w:sz w:val="22"/>
          <w:szCs w:val="22"/>
        </w:rPr>
        <w:t xml:space="preserve">The broad range of preventative strategies for STI includes: </w:t>
      </w:r>
    </w:p>
    <w:p w14:paraId="5550E31E" w14:textId="07535BCA" w:rsidR="00BA1F9E" w:rsidRPr="00442D9E" w:rsidRDefault="009D26AE" w:rsidP="003B2996">
      <w:pPr>
        <w:pStyle w:val="BodyText"/>
        <w:spacing w:after="0"/>
        <w:rPr>
          <w:rFonts w:cs="Arial"/>
          <w:color w:val="000000" w:themeColor="text1"/>
          <w:sz w:val="22"/>
          <w:szCs w:val="22"/>
        </w:rPr>
      </w:pPr>
      <w:r>
        <w:rPr>
          <w:noProof/>
        </w:rPr>
        <w:drawing>
          <wp:anchor distT="0" distB="0" distL="114300" distR="114300" simplePos="0" relativeHeight="251657265" behindDoc="1" locked="0" layoutInCell="1" allowOverlap="1" wp14:anchorId="2A1CD110" wp14:editId="7C86A905">
            <wp:simplePos x="0" y="0"/>
            <wp:positionH relativeFrom="margin">
              <wp:posOffset>2109470</wp:posOffset>
            </wp:positionH>
            <wp:positionV relativeFrom="page">
              <wp:posOffset>2067560</wp:posOffset>
            </wp:positionV>
            <wp:extent cx="1245870" cy="1263015"/>
            <wp:effectExtent l="0" t="199073" r="0" b="98107"/>
            <wp:wrapTight wrapText="bothSides">
              <wp:wrapPolygon edited="0">
                <wp:start x="-1162" y="2758"/>
                <wp:lineTo x="-3001" y="5542"/>
                <wp:lineTo x="775" y="9188"/>
                <wp:lineTo x="-611" y="10585"/>
                <wp:lineTo x="2702" y="14697"/>
                <wp:lineTo x="10480" y="21297"/>
                <wp:lineTo x="12103" y="20128"/>
                <wp:lineTo x="16331" y="22388"/>
                <wp:lineTo x="17948" y="20759"/>
                <wp:lineTo x="17707" y="20070"/>
                <wp:lineTo x="21345" y="10817"/>
                <wp:lineTo x="16414" y="8334"/>
                <wp:lineTo x="12407" y="4920"/>
                <wp:lineTo x="10248" y="-356"/>
                <wp:lineTo x="9299" y="-1729"/>
                <wp:lineTo x="2544" y="-46"/>
                <wp:lineTo x="-7" y="1594"/>
                <wp:lineTo x="-1162" y="2758"/>
              </wp:wrapPolygon>
            </wp:wrapTight>
            <wp:docPr id="1257687161" name="Graphic 1257687161" descr="P27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87161" name="Graphic 1257687161" descr="P271#y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rot="2736361">
                      <a:off x="0" y="0"/>
                      <a:ext cx="1245870" cy="1263015"/>
                    </a:xfrm>
                    <a:prstGeom prst="rect">
                      <a:avLst/>
                    </a:prstGeom>
                  </pic:spPr>
                </pic:pic>
              </a:graphicData>
            </a:graphic>
            <wp14:sizeRelH relativeFrom="margin">
              <wp14:pctWidth>0</wp14:pctWidth>
            </wp14:sizeRelH>
            <wp14:sizeRelV relativeFrom="margin">
              <wp14:pctHeight>0</wp14:pctHeight>
            </wp14:sizeRelV>
          </wp:anchor>
        </w:drawing>
      </w:r>
    </w:p>
    <w:p w14:paraId="1B25EBB0" w14:textId="15DF0026" w:rsidR="00BA1F9E" w:rsidRPr="00442D9E" w:rsidRDefault="00BA1F9E">
      <w:pPr>
        <w:pStyle w:val="BodyText"/>
        <w:numPr>
          <w:ilvl w:val="0"/>
          <w:numId w:val="9"/>
        </w:numPr>
        <w:spacing w:after="0"/>
        <w:rPr>
          <w:rFonts w:cs="Arial"/>
          <w:color w:val="000000" w:themeColor="text1"/>
          <w:sz w:val="22"/>
          <w:szCs w:val="22"/>
        </w:rPr>
      </w:pPr>
      <w:r w:rsidRPr="00442D9E">
        <w:rPr>
          <w:rFonts w:cs="Arial"/>
          <w:color w:val="000000" w:themeColor="text1"/>
          <w:sz w:val="22"/>
          <w:szCs w:val="22"/>
        </w:rPr>
        <w:t>STI</w:t>
      </w:r>
      <w:r w:rsidR="002B579B">
        <w:rPr>
          <w:rFonts w:cs="Arial"/>
          <w:color w:val="000000" w:themeColor="text1"/>
          <w:sz w:val="22"/>
          <w:szCs w:val="22"/>
        </w:rPr>
        <w:t xml:space="preserve"> and</w:t>
      </w:r>
      <w:r w:rsidRPr="00442D9E">
        <w:rPr>
          <w:rFonts w:cs="Arial"/>
          <w:color w:val="000000" w:themeColor="text1"/>
          <w:sz w:val="22"/>
          <w:szCs w:val="22"/>
        </w:rPr>
        <w:t xml:space="preserve"> sexual health education, including peer education</w:t>
      </w:r>
    </w:p>
    <w:p w14:paraId="18CF8719" w14:textId="5A9B709F" w:rsidR="00BA1F9E" w:rsidRPr="00442D9E" w:rsidRDefault="004961AC">
      <w:pPr>
        <w:pStyle w:val="BodyText"/>
        <w:numPr>
          <w:ilvl w:val="0"/>
          <w:numId w:val="9"/>
        </w:numPr>
        <w:spacing w:after="0"/>
        <w:rPr>
          <w:rFonts w:cs="Arial"/>
          <w:color w:val="000000" w:themeColor="text1"/>
          <w:sz w:val="22"/>
          <w:szCs w:val="22"/>
        </w:rPr>
      </w:pPr>
      <w:r>
        <w:rPr>
          <w:rFonts w:cs="Arial"/>
          <w:color w:val="000000" w:themeColor="text1"/>
          <w:sz w:val="22"/>
          <w:szCs w:val="22"/>
        </w:rPr>
        <w:t>p</w:t>
      </w:r>
      <w:r w:rsidR="00BA1F9E" w:rsidRPr="00442D9E">
        <w:rPr>
          <w:rFonts w:cs="Arial"/>
          <w:color w:val="000000" w:themeColor="text1"/>
          <w:sz w:val="22"/>
          <w:szCs w:val="22"/>
        </w:rPr>
        <w:t>ractising safer sex (such as using condoms and other barrier methods and suitable lubricants)</w:t>
      </w:r>
    </w:p>
    <w:p w14:paraId="2DF20D2F" w14:textId="105C5D8B" w:rsidR="00B50D31" w:rsidRPr="00442D9E" w:rsidRDefault="00B50D31">
      <w:pPr>
        <w:pStyle w:val="BodyText"/>
        <w:numPr>
          <w:ilvl w:val="0"/>
          <w:numId w:val="9"/>
        </w:numPr>
        <w:spacing w:after="0"/>
        <w:rPr>
          <w:rFonts w:cs="Arial"/>
          <w:color w:val="000000" w:themeColor="text1"/>
          <w:sz w:val="22"/>
          <w:szCs w:val="22"/>
        </w:rPr>
      </w:pPr>
      <w:r>
        <w:rPr>
          <w:rFonts w:cs="Arial"/>
          <w:color w:val="000000" w:themeColor="text1"/>
          <w:sz w:val="22"/>
          <w:szCs w:val="22"/>
        </w:rPr>
        <w:t>vaccination (such as for HPV and mpox)</w:t>
      </w:r>
    </w:p>
    <w:p w14:paraId="6C7E7A7C" w14:textId="3A055C04" w:rsidR="00BA1F9E" w:rsidRPr="00442D9E" w:rsidRDefault="004961AC">
      <w:pPr>
        <w:pStyle w:val="BodyText"/>
        <w:numPr>
          <w:ilvl w:val="0"/>
          <w:numId w:val="9"/>
        </w:numPr>
        <w:spacing w:after="0"/>
        <w:rPr>
          <w:rFonts w:cs="Arial"/>
          <w:color w:val="000000" w:themeColor="text1"/>
          <w:sz w:val="22"/>
          <w:szCs w:val="22"/>
        </w:rPr>
      </w:pPr>
      <w:r>
        <w:rPr>
          <w:rFonts w:cs="Arial"/>
          <w:color w:val="000000" w:themeColor="text1"/>
          <w:sz w:val="22"/>
          <w:szCs w:val="22"/>
        </w:rPr>
        <w:t>e</w:t>
      </w:r>
      <w:r w:rsidR="00BA1F9E" w:rsidRPr="00442D9E">
        <w:rPr>
          <w:rFonts w:cs="Arial"/>
          <w:color w:val="000000" w:themeColor="text1"/>
          <w:sz w:val="22"/>
          <w:szCs w:val="22"/>
        </w:rPr>
        <w:t>arly detection and treatment, including as part of antenatal care</w:t>
      </w:r>
      <w:r w:rsidR="004155F9">
        <w:rPr>
          <w:rFonts w:cs="Arial"/>
          <w:color w:val="000000" w:themeColor="text1"/>
          <w:sz w:val="22"/>
          <w:szCs w:val="22"/>
        </w:rPr>
        <w:t>.</w:t>
      </w:r>
      <w:r w:rsidR="00BA1F9E" w:rsidRPr="00442D9E">
        <w:rPr>
          <w:rFonts w:cs="Arial"/>
          <w:color w:val="000000" w:themeColor="text1"/>
          <w:sz w:val="22"/>
          <w:szCs w:val="22"/>
        </w:rPr>
        <w:t xml:space="preserve"> </w:t>
      </w:r>
    </w:p>
    <w:p w14:paraId="4B2DCDEC" w14:textId="77777777" w:rsidR="00BA1F9E" w:rsidRPr="00442D9E" w:rsidRDefault="00BA1F9E" w:rsidP="003B2996">
      <w:pPr>
        <w:pStyle w:val="BodyText"/>
        <w:spacing w:after="0"/>
        <w:rPr>
          <w:rStyle w:val="Strong"/>
          <w:rFonts w:cs="Arial"/>
          <w:color w:val="000000" w:themeColor="text1"/>
          <w:szCs w:val="22"/>
        </w:rPr>
      </w:pPr>
    </w:p>
    <w:p w14:paraId="3741BFB6" w14:textId="77777777" w:rsidR="00BA1F9E" w:rsidRPr="00AC3548" w:rsidRDefault="00BA1F9E" w:rsidP="00E86C4E">
      <w:pPr>
        <w:spacing w:after="120"/>
        <w:rPr>
          <w:rStyle w:val="Strong"/>
          <w:rFonts w:cs="Arial"/>
          <w:color w:val="000000" w:themeColor="text1"/>
          <w:sz w:val="32"/>
          <w:szCs w:val="32"/>
        </w:rPr>
      </w:pPr>
      <w:r w:rsidRPr="00AC3548">
        <w:rPr>
          <w:rStyle w:val="Strong"/>
          <w:rFonts w:cs="Arial"/>
          <w:color w:val="000000" w:themeColor="text1"/>
          <w:sz w:val="32"/>
          <w:szCs w:val="32"/>
        </w:rPr>
        <w:t>Routes of transmission</w:t>
      </w:r>
    </w:p>
    <w:p w14:paraId="576DE033" w14:textId="5C87A077" w:rsidR="00512633" w:rsidRPr="00D74561" w:rsidRDefault="7EE3D6CE" w:rsidP="00D74561">
      <w:pPr>
        <w:pStyle w:val="BodyText"/>
        <w:spacing w:after="0"/>
        <w:rPr>
          <w:rFonts w:cs="Arial"/>
          <w:b/>
          <w:bCs/>
          <w:color w:val="000000" w:themeColor="text1"/>
          <w:sz w:val="22"/>
          <w:szCs w:val="22"/>
        </w:rPr>
      </w:pPr>
      <w:r w:rsidRPr="00442D9E">
        <w:rPr>
          <w:rFonts w:cs="Arial"/>
          <w:color w:val="000000" w:themeColor="text1"/>
          <w:sz w:val="22"/>
          <w:szCs w:val="22"/>
        </w:rPr>
        <w:t>The primary route of transmission is through sexual contact, such as vaginal, anal</w:t>
      </w:r>
      <w:r w:rsidR="3CD6DB24">
        <w:rPr>
          <w:rFonts w:cs="Arial"/>
          <w:color w:val="000000" w:themeColor="text1"/>
          <w:sz w:val="22"/>
          <w:szCs w:val="22"/>
        </w:rPr>
        <w:t>,</w:t>
      </w:r>
      <w:r w:rsidRPr="00442D9E">
        <w:rPr>
          <w:rFonts w:cs="Arial"/>
          <w:color w:val="000000" w:themeColor="text1"/>
          <w:sz w:val="22"/>
          <w:szCs w:val="22"/>
        </w:rPr>
        <w:t xml:space="preserve"> or oral sex. Some STI can also be transmitted vertically from </w:t>
      </w:r>
      <w:r w:rsidR="008642A5">
        <w:rPr>
          <w:rFonts w:cs="Arial"/>
          <w:color w:val="000000" w:themeColor="text1"/>
          <w:sz w:val="22"/>
          <w:szCs w:val="22"/>
        </w:rPr>
        <w:t>birthing parent</w:t>
      </w:r>
      <w:r w:rsidR="008642A5" w:rsidRPr="00442D9E">
        <w:rPr>
          <w:rFonts w:cs="Arial"/>
          <w:color w:val="000000" w:themeColor="text1"/>
          <w:sz w:val="22"/>
          <w:szCs w:val="22"/>
        </w:rPr>
        <w:t xml:space="preserve"> </w:t>
      </w:r>
      <w:r w:rsidRPr="00442D9E">
        <w:rPr>
          <w:rFonts w:cs="Arial"/>
          <w:color w:val="000000" w:themeColor="text1"/>
          <w:sz w:val="22"/>
          <w:szCs w:val="22"/>
        </w:rPr>
        <w:t>to child, through blood contact and other fluid exchange, or from skin-to-skin contact. Some STI can also be transmitted through kissing.</w:t>
      </w:r>
    </w:p>
    <w:p w14:paraId="2D1ED372" w14:textId="77777777" w:rsidR="00D74561" w:rsidRDefault="00D74561" w:rsidP="00E86C4E">
      <w:pPr>
        <w:pStyle w:val="BodyText"/>
        <w:rPr>
          <w:rFonts w:cs="Arial"/>
          <w:b/>
          <w:bCs/>
          <w:color w:val="000000" w:themeColor="text1"/>
          <w:sz w:val="32"/>
          <w:szCs w:val="32"/>
        </w:rPr>
      </w:pPr>
    </w:p>
    <w:p w14:paraId="7FA22D5B" w14:textId="77777777" w:rsidR="00D74561" w:rsidRDefault="00D74561" w:rsidP="00E86C4E">
      <w:pPr>
        <w:pStyle w:val="BodyText"/>
        <w:rPr>
          <w:rFonts w:cs="Arial"/>
          <w:b/>
          <w:bCs/>
          <w:color w:val="000000" w:themeColor="text1"/>
          <w:sz w:val="32"/>
          <w:szCs w:val="32"/>
        </w:rPr>
      </w:pPr>
    </w:p>
    <w:p w14:paraId="09CD6C1F" w14:textId="12A283AD" w:rsidR="00BA1F9E" w:rsidRPr="00AC3548" w:rsidRDefault="00BA1F9E" w:rsidP="00E86C4E">
      <w:pPr>
        <w:pStyle w:val="BodyText"/>
        <w:rPr>
          <w:rFonts w:cs="Arial"/>
          <w:color w:val="000000" w:themeColor="text1"/>
          <w:sz w:val="32"/>
          <w:szCs w:val="32"/>
        </w:rPr>
      </w:pPr>
      <w:r w:rsidRPr="00AC3548">
        <w:rPr>
          <w:rFonts w:cs="Arial"/>
          <w:b/>
          <w:bCs/>
          <w:color w:val="000000" w:themeColor="text1"/>
          <w:sz w:val="32"/>
          <w:szCs w:val="32"/>
        </w:rPr>
        <w:t>Emerging concerns and preparedness</w:t>
      </w:r>
    </w:p>
    <w:p w14:paraId="72BFA600" w14:textId="0FE8644C" w:rsidR="00BA1F9E" w:rsidRPr="00442D9E" w:rsidRDefault="00BA1F9E" w:rsidP="003B2996">
      <w:pPr>
        <w:pStyle w:val="NormalWeb"/>
        <w:spacing w:before="0" w:beforeAutospacing="0" w:after="0" w:afterAutospacing="0"/>
        <w:rPr>
          <w:rFonts w:cs="Arial"/>
          <w:color w:val="000000" w:themeColor="text1"/>
          <w:sz w:val="22"/>
          <w:szCs w:val="22"/>
        </w:rPr>
      </w:pPr>
      <w:r w:rsidRPr="00442D9E">
        <w:rPr>
          <w:rFonts w:cs="Arial"/>
          <w:color w:val="000000" w:themeColor="text1"/>
          <w:sz w:val="22"/>
          <w:szCs w:val="22"/>
        </w:rPr>
        <w:t>New STI threats and other public health conditions continue to challenge Australia’s response to STI.</w:t>
      </w:r>
      <w:r w:rsidR="0051145A" w:rsidRPr="0051145A">
        <w:rPr>
          <w:rStyle w:val="apple-converted-space"/>
          <w:rFonts w:cs="Arial"/>
          <w:color w:val="000000" w:themeColor="text1"/>
          <w:sz w:val="22"/>
          <w:szCs w:val="22"/>
        </w:rPr>
        <w:t xml:space="preserve"> </w:t>
      </w:r>
      <w:r w:rsidR="0051145A" w:rsidRPr="00576239">
        <w:rPr>
          <w:rStyle w:val="apple-converted-space"/>
          <w:rFonts w:cs="Arial"/>
          <w:color w:val="000000" w:themeColor="text1"/>
          <w:sz w:val="22"/>
          <w:szCs w:val="22"/>
        </w:rPr>
        <w:t xml:space="preserve">At the time of writing, the ongoing </w:t>
      </w:r>
      <w:r w:rsidR="0051145A">
        <w:rPr>
          <w:rStyle w:val="apple-converted-space"/>
          <w:rFonts w:cs="Arial"/>
          <w:color w:val="000000" w:themeColor="text1"/>
          <w:sz w:val="22"/>
          <w:szCs w:val="22"/>
        </w:rPr>
        <w:t>spread of syphilis</w:t>
      </w:r>
      <w:r w:rsidR="0051145A" w:rsidRPr="00576239">
        <w:rPr>
          <w:rStyle w:val="apple-converted-space"/>
          <w:rFonts w:cs="Arial"/>
          <w:color w:val="000000" w:themeColor="text1"/>
          <w:sz w:val="22"/>
          <w:szCs w:val="22"/>
        </w:rPr>
        <w:t xml:space="preserve"> is considered a priority concern across Australia</w:t>
      </w:r>
      <w:r w:rsidR="0051145A">
        <w:rPr>
          <w:rStyle w:val="apple-converted-space"/>
          <w:rFonts w:cs="Arial"/>
          <w:color w:val="000000" w:themeColor="text1"/>
          <w:sz w:val="22"/>
          <w:szCs w:val="22"/>
        </w:rPr>
        <w:t>.</w:t>
      </w:r>
    </w:p>
    <w:p w14:paraId="3D50504D" w14:textId="77777777" w:rsidR="00BA1F9E" w:rsidRPr="00442D9E" w:rsidRDefault="00BA1F9E" w:rsidP="003B2996">
      <w:pPr>
        <w:pStyle w:val="NormalWeb"/>
        <w:spacing w:before="0" w:beforeAutospacing="0" w:after="0" w:afterAutospacing="0"/>
        <w:rPr>
          <w:rFonts w:cs="Arial"/>
          <w:color w:val="000000" w:themeColor="text1"/>
          <w:sz w:val="22"/>
          <w:szCs w:val="22"/>
        </w:rPr>
      </w:pPr>
    </w:p>
    <w:p w14:paraId="4D256F04" w14:textId="7088D701" w:rsidR="00BA1F9E" w:rsidRPr="00576239" w:rsidRDefault="7EE3D6CE" w:rsidP="06DE5C08">
      <w:pPr>
        <w:pStyle w:val="NormalWeb"/>
        <w:spacing w:before="0" w:beforeAutospacing="0" w:after="0" w:afterAutospacing="0"/>
        <w:rPr>
          <w:rStyle w:val="apple-converted-space"/>
          <w:rFonts w:cs="Arial"/>
          <w:color w:val="000000" w:themeColor="text1"/>
          <w:sz w:val="22"/>
          <w:szCs w:val="22"/>
          <w:shd w:val="clear" w:color="auto" w:fill="FFFFFF"/>
        </w:rPr>
      </w:pPr>
      <w:r w:rsidRPr="00576239">
        <w:rPr>
          <w:rFonts w:cs="Arial"/>
          <w:color w:val="000000" w:themeColor="text1"/>
          <w:sz w:val="22"/>
          <w:szCs w:val="22"/>
        </w:rPr>
        <w:t xml:space="preserve">An example of a new threat is mpox. In </w:t>
      </w:r>
      <w:r w:rsidR="00F15623" w:rsidRPr="00576239">
        <w:rPr>
          <w:rFonts w:cs="Arial"/>
          <w:color w:val="000000" w:themeColor="text1"/>
          <w:sz w:val="22"/>
          <w:szCs w:val="22"/>
        </w:rPr>
        <w:t>2022</w:t>
      </w:r>
      <w:r w:rsidR="00F15623">
        <w:rPr>
          <w:rFonts w:cs="Arial"/>
          <w:color w:val="000000" w:themeColor="text1"/>
          <w:sz w:val="22"/>
          <w:szCs w:val="22"/>
        </w:rPr>
        <w:t xml:space="preserve"> and again in 2024,</w:t>
      </w:r>
      <w:r w:rsidRPr="00576239">
        <w:rPr>
          <w:rFonts w:cs="Arial"/>
          <w:color w:val="000000" w:themeColor="text1"/>
          <w:sz w:val="22"/>
          <w:szCs w:val="22"/>
        </w:rPr>
        <w:t xml:space="preserve"> mpox was identified as an emerging global public health threat. However, a rapid response to mpox in Australia</w:t>
      </w:r>
      <w:r w:rsidR="008B43F1">
        <w:rPr>
          <w:rFonts w:ascii="ZWAdobeF" w:hAnsi="ZWAdobeF" w:cs="ZWAdobeF"/>
          <w:sz w:val="2"/>
          <w:szCs w:val="2"/>
        </w:rPr>
        <w:t>28F</w:t>
      </w:r>
      <w:r w:rsidR="007C25D6">
        <w:rPr>
          <w:rStyle w:val="EndnoteReference"/>
          <w:rFonts w:cs="Arial"/>
          <w:color w:val="000000" w:themeColor="text1"/>
          <w:sz w:val="22"/>
          <w:szCs w:val="22"/>
        </w:rPr>
        <w:endnoteReference w:id="28"/>
      </w:r>
      <w:r w:rsidRPr="00576239">
        <w:rPr>
          <w:rFonts w:cs="Arial"/>
          <w:color w:val="000000" w:themeColor="text1"/>
          <w:sz w:val="22"/>
          <w:szCs w:val="22"/>
        </w:rPr>
        <w:t xml:space="preserve"> and globally has meant that incidence has decreased worldwide for reasons including</w:t>
      </w:r>
      <w:r w:rsidR="00F56159">
        <w:rPr>
          <w:rFonts w:cs="Arial"/>
          <w:color w:val="000000" w:themeColor="text1"/>
          <w:sz w:val="22"/>
          <w:szCs w:val="22"/>
        </w:rPr>
        <w:t>:</w:t>
      </w:r>
      <w:r w:rsidRPr="00576239">
        <w:rPr>
          <w:rFonts w:cs="Arial"/>
          <w:color w:val="000000" w:themeColor="text1"/>
          <w:sz w:val="22"/>
          <w:szCs w:val="22"/>
        </w:rPr>
        <w:t xml:space="preserve"> immunity in the most affected population groups due to natural immunity and vaccination, behavioural change, risk communication</w:t>
      </w:r>
      <w:r w:rsidR="4F8AED01">
        <w:rPr>
          <w:rFonts w:cs="Arial"/>
          <w:color w:val="000000" w:themeColor="text1"/>
          <w:sz w:val="22"/>
          <w:szCs w:val="22"/>
        </w:rPr>
        <w:t>,</w:t>
      </w:r>
      <w:r w:rsidRPr="00576239">
        <w:rPr>
          <w:rFonts w:cs="Arial"/>
          <w:color w:val="000000" w:themeColor="text1"/>
          <w:sz w:val="22"/>
          <w:szCs w:val="22"/>
        </w:rPr>
        <w:t xml:space="preserve"> and community engagement.</w:t>
      </w:r>
      <w:r w:rsidR="008B43F1">
        <w:rPr>
          <w:rFonts w:ascii="ZWAdobeF" w:hAnsi="ZWAdobeF" w:cs="ZWAdobeF"/>
          <w:sz w:val="2"/>
          <w:szCs w:val="2"/>
        </w:rPr>
        <w:t>29F</w:t>
      </w:r>
      <w:r w:rsidR="00BA1F9E" w:rsidRPr="00576239">
        <w:rPr>
          <w:rStyle w:val="EndnoteReference"/>
          <w:rFonts w:cs="Arial"/>
          <w:color w:val="000000" w:themeColor="text1"/>
          <w:sz w:val="22"/>
          <w:szCs w:val="22"/>
        </w:rPr>
        <w:endnoteReference w:id="29"/>
      </w:r>
      <w:r w:rsidRPr="00576239">
        <w:rPr>
          <w:rStyle w:val="apple-converted-space"/>
          <w:rFonts w:cs="Arial"/>
          <w:color w:val="000000" w:themeColor="text1"/>
          <w:sz w:val="22"/>
          <w:szCs w:val="22"/>
        </w:rPr>
        <w:t> </w:t>
      </w:r>
      <w:r w:rsidRPr="00576239" w:rsidDel="00E31E5C">
        <w:rPr>
          <w:rStyle w:val="apple-converted-space"/>
          <w:rFonts w:cs="Arial"/>
          <w:color w:val="000000" w:themeColor="text1"/>
          <w:sz w:val="22"/>
          <w:szCs w:val="22"/>
          <w:shd w:val="clear" w:color="auto" w:fill="FFFFFF"/>
        </w:rPr>
        <w:t xml:space="preserve"> </w:t>
      </w:r>
    </w:p>
    <w:p w14:paraId="3020CC83" w14:textId="77777777" w:rsidR="00BA1F9E" w:rsidRPr="00576239" w:rsidRDefault="00BA1F9E" w:rsidP="003B2996">
      <w:pPr>
        <w:pStyle w:val="NormalWeb"/>
        <w:spacing w:before="0" w:beforeAutospacing="0" w:after="0" w:afterAutospacing="0"/>
        <w:rPr>
          <w:rStyle w:val="apple-converted-space"/>
          <w:rFonts w:eastAsia="Calibri" w:cs="Arial"/>
          <w:color w:val="000000" w:themeColor="text1"/>
          <w:sz w:val="22"/>
          <w:szCs w:val="22"/>
          <w:shd w:val="clear" w:color="auto" w:fill="FFFFFF"/>
        </w:rPr>
      </w:pPr>
    </w:p>
    <w:p w14:paraId="7552922E" w14:textId="306B8009" w:rsidR="00BA1F9E" w:rsidRPr="00576239" w:rsidRDefault="00BA1F9E" w:rsidP="003B2996">
      <w:pPr>
        <w:pStyle w:val="NormalWeb"/>
        <w:spacing w:before="0" w:beforeAutospacing="0" w:after="0" w:afterAutospacing="0"/>
        <w:rPr>
          <w:rFonts w:cs="Arial"/>
          <w:color w:val="000000" w:themeColor="text1"/>
          <w:sz w:val="22"/>
          <w:szCs w:val="22"/>
        </w:rPr>
      </w:pPr>
      <w:r w:rsidRPr="00576239">
        <w:rPr>
          <w:rStyle w:val="apple-converted-space"/>
          <w:rFonts w:cs="Arial"/>
          <w:color w:val="000000" w:themeColor="text1"/>
          <w:sz w:val="22"/>
          <w:szCs w:val="22"/>
        </w:rPr>
        <w:t>Other public health conditions, such as COVID-19, have also impacted the delivery of sexual health services.</w:t>
      </w:r>
      <w:r w:rsidRPr="00576239">
        <w:rPr>
          <w:rFonts w:cs="Arial"/>
          <w:color w:val="000000" w:themeColor="text1"/>
          <w:sz w:val="22"/>
          <w:szCs w:val="22"/>
        </w:rPr>
        <w:t xml:space="preserve"> The experience of COVID-19 has shown sexual health services can adapt effectively in response to emerging public health concerns. </w:t>
      </w:r>
      <w:r w:rsidR="00EA1E7E">
        <w:rPr>
          <w:rFonts w:cs="Arial"/>
          <w:color w:val="000000" w:themeColor="text1"/>
          <w:sz w:val="22"/>
          <w:szCs w:val="22"/>
        </w:rPr>
        <w:t>T</w:t>
      </w:r>
      <w:r w:rsidRPr="00576239">
        <w:rPr>
          <w:rFonts w:cs="Arial"/>
          <w:color w:val="000000" w:themeColor="text1"/>
          <w:sz w:val="22"/>
          <w:szCs w:val="22"/>
        </w:rPr>
        <w:t xml:space="preserve">reatment innovations, such as in telehealth, </w:t>
      </w:r>
      <w:r w:rsidR="00EA1E7E">
        <w:rPr>
          <w:rFonts w:cs="Arial"/>
          <w:color w:val="000000" w:themeColor="text1"/>
          <w:sz w:val="22"/>
          <w:szCs w:val="22"/>
        </w:rPr>
        <w:t>were tested during COVID-19</w:t>
      </w:r>
      <w:r w:rsidR="00DE63A8">
        <w:rPr>
          <w:rFonts w:cs="Arial"/>
          <w:color w:val="000000" w:themeColor="text1"/>
          <w:sz w:val="22"/>
          <w:szCs w:val="22"/>
        </w:rPr>
        <w:t xml:space="preserve"> and</w:t>
      </w:r>
      <w:r w:rsidRPr="00576239">
        <w:rPr>
          <w:rFonts w:cs="Arial"/>
          <w:color w:val="000000" w:themeColor="text1"/>
          <w:sz w:val="22"/>
          <w:szCs w:val="22"/>
        </w:rPr>
        <w:t xml:space="preserve"> may help to continue expanding access to sexual health services.</w:t>
      </w:r>
    </w:p>
    <w:p w14:paraId="7BBEF1AF" w14:textId="77777777" w:rsidR="00BA1F9E" w:rsidRPr="00576239" w:rsidRDefault="00BA1F9E" w:rsidP="003B2996">
      <w:pPr>
        <w:pStyle w:val="NormalWeb"/>
        <w:spacing w:before="0" w:beforeAutospacing="0" w:after="0" w:afterAutospacing="0"/>
        <w:rPr>
          <w:rStyle w:val="apple-converted-space"/>
          <w:rFonts w:cs="Arial"/>
          <w:color w:val="000000" w:themeColor="text1"/>
          <w:sz w:val="22"/>
          <w:szCs w:val="22"/>
          <w:shd w:val="clear" w:color="auto" w:fill="FFFFFF"/>
        </w:rPr>
      </w:pPr>
    </w:p>
    <w:p w14:paraId="42CDA864" w14:textId="7009A763" w:rsidR="00BC2E06" w:rsidRDefault="00BC2E06" w:rsidP="00F2424A">
      <w:pPr>
        <w:pStyle w:val="NormalWeb"/>
        <w:spacing w:before="0" w:beforeAutospacing="0" w:after="0" w:afterAutospacing="0"/>
        <w:rPr>
          <w:rFonts w:cs="Arial"/>
          <w:color w:val="000000" w:themeColor="text1"/>
          <w:sz w:val="22"/>
          <w:szCs w:val="22"/>
        </w:rPr>
        <w:sectPr w:rsidR="00BC2E06" w:rsidSect="003640E5">
          <w:headerReference w:type="default" r:id="rId60"/>
          <w:endnotePr>
            <w:numFmt w:val="decimal"/>
          </w:endnotePr>
          <w:type w:val="continuous"/>
          <w:pgSz w:w="11900" w:h="16840"/>
          <w:pgMar w:top="851" w:right="720" w:bottom="720" w:left="720" w:header="283" w:footer="720" w:gutter="0"/>
          <w:cols w:num="2" w:space="737"/>
          <w:docGrid w:linePitch="360"/>
        </w:sectPr>
      </w:pPr>
    </w:p>
    <w:p w14:paraId="0A7CC7B2" w14:textId="77777777" w:rsidR="004A5946" w:rsidRDefault="00DD2710">
      <w:pPr>
        <w:rPr>
          <w:highlight w:val="white"/>
        </w:rPr>
        <w:sectPr w:rsidR="004A5946" w:rsidSect="005E6A7F">
          <w:endnotePr>
            <w:numFmt w:val="decimal"/>
          </w:endnotePr>
          <w:type w:val="continuous"/>
          <w:pgSz w:w="11900" w:h="16840"/>
          <w:pgMar w:top="709" w:right="1134" w:bottom="1134" w:left="1134" w:header="720" w:footer="720" w:gutter="0"/>
          <w:cols w:space="720"/>
          <w:docGrid w:linePitch="360"/>
        </w:sectPr>
      </w:pPr>
      <w:bookmarkStart w:id="23" w:name="_Toc138151582"/>
      <w:bookmarkStart w:id="24" w:name="_Toc138173791"/>
      <w:bookmarkStart w:id="25" w:name="_Toc150160952"/>
      <w:r>
        <w:rPr>
          <w:highlight w:val="white"/>
        </w:rPr>
        <w:br w:type="page"/>
      </w:r>
    </w:p>
    <w:p w14:paraId="6BB2F760" w14:textId="7EDEFBB1" w:rsidR="00BA1F9E" w:rsidRPr="00D17F26" w:rsidRDefault="00BA1F9E" w:rsidP="00D17F26">
      <w:pPr>
        <w:pStyle w:val="Heading1"/>
        <w:rPr>
          <w:highlight w:val="white"/>
        </w:rPr>
      </w:pPr>
      <w:bookmarkStart w:id="26" w:name="_Toc163737179"/>
      <w:r w:rsidRPr="00442D9E">
        <w:rPr>
          <w:highlight w:val="white"/>
        </w:rPr>
        <w:lastRenderedPageBreak/>
        <w:t>About this strategy</w:t>
      </w:r>
      <w:bookmarkEnd w:id="23"/>
      <w:bookmarkEnd w:id="24"/>
      <w:bookmarkEnd w:id="25"/>
      <w:bookmarkEnd w:id="26"/>
    </w:p>
    <w:p w14:paraId="4BC91A2E" w14:textId="3D6773E8" w:rsidR="00BA1F9E" w:rsidRPr="00442D9E" w:rsidRDefault="00BA1F9E" w:rsidP="00BA1F9E">
      <w:pPr>
        <w:pStyle w:val="BodyText"/>
        <w:spacing w:after="0"/>
        <w:jc w:val="both"/>
        <w:rPr>
          <w:rFonts w:cs="Arial"/>
          <w:color w:val="000000" w:themeColor="text1"/>
          <w:sz w:val="22"/>
          <w:szCs w:val="22"/>
        </w:rPr>
      </w:pPr>
      <w:r w:rsidRPr="00442D9E">
        <w:rPr>
          <w:rFonts w:cs="Arial"/>
          <w:color w:val="000000" w:themeColor="text1"/>
          <w:sz w:val="22"/>
          <w:szCs w:val="22"/>
        </w:rPr>
        <w:t>The Fifth National STI Strategy sets the direction for Australia’s continuing response to STI for 202</w:t>
      </w:r>
      <w:r w:rsidR="008642A5">
        <w:rPr>
          <w:rFonts w:cs="Arial"/>
          <w:color w:val="000000" w:themeColor="text1"/>
          <w:sz w:val="22"/>
          <w:szCs w:val="22"/>
        </w:rPr>
        <w:t>4</w:t>
      </w:r>
      <w:r w:rsidRPr="00442D9E">
        <w:rPr>
          <w:rFonts w:cs="Arial"/>
          <w:color w:val="000000" w:themeColor="text1"/>
          <w:sz w:val="22"/>
          <w:szCs w:val="22"/>
        </w:rPr>
        <w:t xml:space="preserve"> to 2030. It builds on achievements and lessons learned from previous strategies and takes an approach that focuses on strengthening systems that enable the normalisation of STI (through taking responsibility for one’s own sexual health, testing</w:t>
      </w:r>
      <w:r w:rsidR="00B47558">
        <w:rPr>
          <w:rFonts w:cs="Arial"/>
          <w:color w:val="000000" w:themeColor="text1"/>
          <w:sz w:val="22"/>
          <w:szCs w:val="22"/>
        </w:rPr>
        <w:t>,</w:t>
      </w:r>
      <w:r w:rsidRPr="00442D9E">
        <w:rPr>
          <w:rFonts w:cs="Arial"/>
          <w:color w:val="000000" w:themeColor="text1"/>
          <w:sz w:val="22"/>
          <w:szCs w:val="22"/>
        </w:rPr>
        <w:t xml:space="preserve"> and partner notification) and ensur</w:t>
      </w:r>
      <w:r w:rsidR="004155F9">
        <w:rPr>
          <w:rFonts w:cs="Arial"/>
          <w:color w:val="000000" w:themeColor="text1"/>
          <w:sz w:val="22"/>
          <w:szCs w:val="22"/>
        </w:rPr>
        <w:t>ing</w:t>
      </w:r>
      <w:r w:rsidRPr="00442D9E">
        <w:rPr>
          <w:rFonts w:cs="Arial"/>
          <w:color w:val="000000" w:themeColor="text1"/>
          <w:sz w:val="22"/>
          <w:szCs w:val="22"/>
        </w:rPr>
        <w:t xml:space="preserve"> access to quality comprehensive STI healthcare for all.</w:t>
      </w:r>
    </w:p>
    <w:p w14:paraId="7CFE3DBC" w14:textId="77777777" w:rsidR="00BA1F9E" w:rsidRPr="00442D9E" w:rsidRDefault="00BA1F9E" w:rsidP="00BA1F9E">
      <w:pPr>
        <w:pStyle w:val="BodyText"/>
        <w:spacing w:after="0"/>
        <w:jc w:val="both"/>
        <w:rPr>
          <w:rFonts w:cs="Arial"/>
          <w:color w:val="000000" w:themeColor="text1"/>
          <w:sz w:val="22"/>
          <w:szCs w:val="22"/>
        </w:rPr>
      </w:pPr>
    </w:p>
    <w:p w14:paraId="40934C22" w14:textId="42211ABF" w:rsidR="00BA1F9E" w:rsidRPr="00442D9E" w:rsidRDefault="00BA1F9E" w:rsidP="00BA1F9E">
      <w:pPr>
        <w:pStyle w:val="BodyText"/>
        <w:spacing w:after="0"/>
        <w:jc w:val="both"/>
        <w:rPr>
          <w:rFonts w:cs="Arial"/>
          <w:color w:val="000000" w:themeColor="text1"/>
          <w:sz w:val="22"/>
          <w:szCs w:val="22"/>
        </w:rPr>
      </w:pPr>
      <w:r w:rsidRPr="00442D9E">
        <w:rPr>
          <w:rFonts w:cs="Arial"/>
          <w:color w:val="000000" w:themeColor="text1"/>
          <w:sz w:val="22"/>
          <w:szCs w:val="22"/>
        </w:rPr>
        <w:t>It is one of five national strategies that, together with the research and innovation guidance of the First National Blood Borne Viruses and Sexually Transmissible Infections Research Strategy 2021–2025, outline a framework for a high-quality and coordinated national response to BBV and STI in Australia.</w:t>
      </w:r>
    </w:p>
    <w:p w14:paraId="6DDC917C" w14:textId="77777777" w:rsidR="00BA1F9E" w:rsidRPr="00442D9E" w:rsidRDefault="00BA1F9E" w:rsidP="00BA1F9E">
      <w:pPr>
        <w:pStyle w:val="BodyText"/>
        <w:spacing w:after="0"/>
        <w:jc w:val="both"/>
        <w:rPr>
          <w:rFonts w:cs="Arial"/>
          <w:color w:val="000000" w:themeColor="text1"/>
          <w:sz w:val="22"/>
          <w:szCs w:val="22"/>
        </w:rPr>
      </w:pPr>
    </w:p>
    <w:p w14:paraId="41C639C8" w14:textId="77777777" w:rsidR="00BA1F9E" w:rsidRPr="00442D9E" w:rsidRDefault="00BA1F9E" w:rsidP="00BA1F9E">
      <w:pPr>
        <w:pStyle w:val="BodyText"/>
        <w:spacing w:after="0"/>
        <w:jc w:val="both"/>
        <w:rPr>
          <w:rFonts w:cs="Arial"/>
          <w:color w:val="000000" w:themeColor="text1"/>
          <w:sz w:val="22"/>
          <w:szCs w:val="22"/>
        </w:rPr>
      </w:pPr>
      <w:r w:rsidRPr="00442D9E">
        <w:rPr>
          <w:rFonts w:cs="Arial"/>
          <w:color w:val="000000" w:themeColor="text1"/>
          <w:sz w:val="22"/>
          <w:szCs w:val="22"/>
        </w:rPr>
        <w:t>The other four strategies are:</w:t>
      </w:r>
    </w:p>
    <w:p w14:paraId="6CA391AF" w14:textId="77777777" w:rsidR="00BA1F9E" w:rsidRPr="00442D9E" w:rsidRDefault="00BA1F9E" w:rsidP="00BA1F9E">
      <w:pPr>
        <w:pStyle w:val="BodyText"/>
        <w:spacing w:after="0"/>
        <w:jc w:val="both"/>
        <w:rPr>
          <w:rFonts w:cs="Arial"/>
          <w:color w:val="000000" w:themeColor="text1"/>
          <w:sz w:val="22"/>
          <w:szCs w:val="22"/>
        </w:rPr>
      </w:pPr>
    </w:p>
    <w:p w14:paraId="5A18D338" w14:textId="44D65755"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Fourth National Hepatitis B Strategy 202</w:t>
      </w:r>
      <w:r w:rsidR="00484085">
        <w:rPr>
          <w:rFonts w:cs="Arial"/>
          <w:color w:val="000000" w:themeColor="text1"/>
          <w:sz w:val="22"/>
          <w:szCs w:val="22"/>
        </w:rPr>
        <w:t>4</w:t>
      </w:r>
      <w:r w:rsidRPr="00442D9E">
        <w:rPr>
          <w:rFonts w:cs="Arial"/>
          <w:color w:val="000000" w:themeColor="text1"/>
          <w:sz w:val="22"/>
          <w:szCs w:val="22"/>
        </w:rPr>
        <w:t>–2030</w:t>
      </w:r>
    </w:p>
    <w:p w14:paraId="056BF3DF" w14:textId="6DE13FBA"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Sixth National Hepatitis C Strategy 202</w:t>
      </w:r>
      <w:r w:rsidR="00484085">
        <w:rPr>
          <w:rFonts w:cs="Arial"/>
          <w:color w:val="000000" w:themeColor="text1"/>
          <w:sz w:val="22"/>
          <w:szCs w:val="22"/>
        </w:rPr>
        <w:t>4</w:t>
      </w:r>
      <w:r w:rsidRPr="00442D9E">
        <w:rPr>
          <w:rFonts w:cs="Arial"/>
          <w:color w:val="000000" w:themeColor="text1"/>
          <w:sz w:val="22"/>
          <w:szCs w:val="22"/>
        </w:rPr>
        <w:t>–2030</w:t>
      </w:r>
    </w:p>
    <w:p w14:paraId="19777467" w14:textId="7556B954"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Ninth National HIV Strategy 202</w:t>
      </w:r>
      <w:r w:rsidR="00484085">
        <w:rPr>
          <w:rFonts w:cs="Arial"/>
          <w:color w:val="000000" w:themeColor="text1"/>
          <w:sz w:val="22"/>
          <w:szCs w:val="22"/>
        </w:rPr>
        <w:t>4</w:t>
      </w:r>
      <w:r w:rsidRPr="00442D9E">
        <w:rPr>
          <w:rFonts w:cs="Arial"/>
          <w:color w:val="000000" w:themeColor="text1"/>
          <w:sz w:val="22"/>
          <w:szCs w:val="22"/>
        </w:rPr>
        <w:t>–2030</w:t>
      </w:r>
    </w:p>
    <w:p w14:paraId="16B94459" w14:textId="1B10C7F9"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 xml:space="preserve">Sixth National </w:t>
      </w:r>
      <w:r w:rsidR="009E5590" w:rsidRPr="009E5590">
        <w:rPr>
          <w:rFonts w:cs="Arial"/>
          <w:color w:val="000000" w:themeColor="text1"/>
          <w:sz w:val="22"/>
          <w:szCs w:val="22"/>
        </w:rPr>
        <w:t>Aboriginal and Torres Strait Islander</w:t>
      </w:r>
      <w:r w:rsidR="009E5590">
        <w:rPr>
          <w:rFonts w:cs="Arial"/>
          <w:color w:val="000000" w:themeColor="text1"/>
          <w:sz w:val="22"/>
          <w:szCs w:val="22"/>
        </w:rPr>
        <w:t xml:space="preserve"> </w:t>
      </w:r>
      <w:r w:rsidRPr="00442D9E">
        <w:rPr>
          <w:rFonts w:cs="Arial"/>
          <w:color w:val="000000" w:themeColor="text1"/>
          <w:sz w:val="22"/>
          <w:szCs w:val="22"/>
        </w:rPr>
        <w:t>Blood Borne Viruses and Sexually Transmissible Infections Strategy 202</w:t>
      </w:r>
      <w:r w:rsidR="00484085">
        <w:rPr>
          <w:rFonts w:cs="Arial"/>
          <w:color w:val="000000" w:themeColor="text1"/>
          <w:sz w:val="22"/>
          <w:szCs w:val="22"/>
        </w:rPr>
        <w:t>4</w:t>
      </w:r>
      <w:r w:rsidRPr="00442D9E">
        <w:rPr>
          <w:rFonts w:cs="Arial"/>
          <w:color w:val="000000" w:themeColor="text1"/>
          <w:sz w:val="22"/>
          <w:szCs w:val="22"/>
        </w:rPr>
        <w:t>–2030</w:t>
      </w:r>
      <w:r w:rsidR="001F784B" w:rsidRPr="00442D9E">
        <w:rPr>
          <w:rFonts w:cs="Arial"/>
          <w:color w:val="000000" w:themeColor="text1"/>
          <w:sz w:val="22"/>
          <w:szCs w:val="22"/>
        </w:rPr>
        <w:t>.</w:t>
      </w:r>
    </w:p>
    <w:p w14:paraId="5C7FD542" w14:textId="77777777" w:rsidR="00BA1F9E" w:rsidRPr="00442D9E" w:rsidRDefault="00BA1F9E" w:rsidP="00BA1F9E">
      <w:pPr>
        <w:pStyle w:val="BodyText"/>
        <w:spacing w:after="0"/>
        <w:jc w:val="both"/>
        <w:rPr>
          <w:rFonts w:cs="Arial"/>
          <w:color w:val="000000" w:themeColor="text1"/>
          <w:sz w:val="22"/>
          <w:szCs w:val="22"/>
        </w:rPr>
      </w:pPr>
    </w:p>
    <w:p w14:paraId="2F253765" w14:textId="77777777" w:rsidR="00BA1F9E" w:rsidRPr="00442D9E" w:rsidRDefault="00BA1F9E" w:rsidP="00BA1F9E">
      <w:pPr>
        <w:pStyle w:val="BodyText"/>
        <w:spacing w:after="0"/>
        <w:jc w:val="both"/>
        <w:rPr>
          <w:rFonts w:cs="Arial"/>
          <w:color w:val="000000" w:themeColor="text1"/>
          <w:sz w:val="22"/>
          <w:szCs w:val="22"/>
        </w:rPr>
      </w:pPr>
      <w:r w:rsidRPr="00442D9E">
        <w:rPr>
          <w:rFonts w:cs="Arial"/>
          <w:color w:val="000000" w:themeColor="text1"/>
          <w:sz w:val="22"/>
          <w:szCs w:val="22"/>
        </w:rPr>
        <w:t xml:space="preserve">The National Elimination of Cervical Cancer Strategy under development and </w:t>
      </w:r>
      <w:r w:rsidRPr="00442D9E">
        <w:rPr>
          <w:rFonts w:cs="Arial"/>
          <w:color w:val="000000" w:themeColor="text1"/>
          <w:sz w:val="22"/>
          <w:szCs w:val="22"/>
          <w:shd w:val="clear" w:color="auto" w:fill="FFFFFF"/>
        </w:rPr>
        <w:t xml:space="preserve">Australia’s Primary Health Care 10 Year Plan 2022–2032 </w:t>
      </w:r>
      <w:r w:rsidRPr="00442D9E">
        <w:rPr>
          <w:rFonts w:cs="Arial"/>
          <w:color w:val="000000" w:themeColor="text1"/>
          <w:sz w:val="22"/>
          <w:szCs w:val="22"/>
        </w:rPr>
        <w:t>are also useful documents and processes to guide and align priorities</w:t>
      </w:r>
      <w:r w:rsidRPr="00442D9E">
        <w:rPr>
          <w:rFonts w:cs="Arial"/>
          <w:color w:val="000000" w:themeColor="text1"/>
          <w:sz w:val="22"/>
          <w:szCs w:val="22"/>
          <w:shd w:val="clear" w:color="auto" w:fill="FFFFFF"/>
        </w:rPr>
        <w:t xml:space="preserve"> in this STI strategy.</w:t>
      </w:r>
    </w:p>
    <w:p w14:paraId="41CADF2E" w14:textId="77777777" w:rsidR="00BA1F9E" w:rsidRPr="00442D9E" w:rsidRDefault="00BA1F9E" w:rsidP="00BA1F9E">
      <w:pPr>
        <w:pStyle w:val="BodyText"/>
        <w:spacing w:after="0"/>
        <w:jc w:val="both"/>
        <w:rPr>
          <w:rFonts w:cs="Arial"/>
          <w:color w:val="000000" w:themeColor="text1"/>
          <w:sz w:val="22"/>
          <w:szCs w:val="22"/>
        </w:rPr>
      </w:pPr>
    </w:p>
    <w:p w14:paraId="1EE0B81D" w14:textId="6DD46A0E" w:rsidR="00BA1F9E" w:rsidRPr="00442D9E" w:rsidRDefault="00BA1F9E" w:rsidP="00BA1F9E">
      <w:pPr>
        <w:pStyle w:val="BodyText"/>
        <w:spacing w:after="0"/>
        <w:jc w:val="both"/>
        <w:rPr>
          <w:rFonts w:cs="Arial"/>
          <w:color w:val="000000" w:themeColor="text1"/>
          <w:sz w:val="22"/>
          <w:szCs w:val="22"/>
        </w:rPr>
      </w:pPr>
      <w:r w:rsidRPr="00442D9E">
        <w:rPr>
          <w:rFonts w:cs="Arial"/>
          <w:color w:val="000000" w:themeColor="text1"/>
          <w:sz w:val="22"/>
          <w:szCs w:val="22"/>
        </w:rPr>
        <w:t xml:space="preserve">This Strategy (alongside the other national </w:t>
      </w:r>
      <w:r w:rsidR="004155F9">
        <w:rPr>
          <w:rFonts w:cs="Arial"/>
          <w:color w:val="000000" w:themeColor="text1"/>
          <w:sz w:val="22"/>
          <w:szCs w:val="22"/>
        </w:rPr>
        <w:t>BBV</w:t>
      </w:r>
      <w:r w:rsidRPr="00442D9E">
        <w:rPr>
          <w:rFonts w:cs="Arial"/>
          <w:color w:val="000000" w:themeColor="text1"/>
          <w:sz w:val="22"/>
          <w:szCs w:val="22"/>
        </w:rPr>
        <w:t xml:space="preserve"> and </w:t>
      </w:r>
      <w:r w:rsidR="004155F9">
        <w:rPr>
          <w:rFonts w:cs="Arial"/>
          <w:color w:val="000000" w:themeColor="text1"/>
          <w:sz w:val="22"/>
          <w:szCs w:val="22"/>
        </w:rPr>
        <w:t>STI</w:t>
      </w:r>
      <w:r w:rsidRPr="00442D9E">
        <w:rPr>
          <w:rFonts w:cs="Arial"/>
          <w:color w:val="000000" w:themeColor="text1"/>
          <w:sz w:val="22"/>
          <w:szCs w:val="22"/>
        </w:rPr>
        <w:t xml:space="preserve"> strategies) is endorsed by Australia’s Health Ministers and governed through relevant committees of the Health Chief Executives Forum (HCEF) and the Blood Borne Viruses and Sexually Transmissible Infections Standing Committee (BBVSS). BBVSS coordinates implementation and evaluation efforts across jurisdictions and reports to the </w:t>
      </w:r>
      <w:r w:rsidR="003D4409" w:rsidRPr="003D4409">
        <w:rPr>
          <w:rFonts w:cs="Arial"/>
          <w:color w:val="000000" w:themeColor="text1"/>
          <w:sz w:val="22"/>
          <w:szCs w:val="22"/>
        </w:rPr>
        <w:t>Australian Health Protection Committee (AHPC)</w:t>
      </w:r>
      <w:r w:rsidRPr="00442D9E">
        <w:rPr>
          <w:rFonts w:cs="Arial"/>
          <w:color w:val="000000" w:themeColor="text1"/>
          <w:sz w:val="22"/>
          <w:szCs w:val="22"/>
        </w:rPr>
        <w:t xml:space="preserve"> on progress in the implementation of the national strategies. BBVSS and the Communicable Diseases Network Australia (CDNA) will jointly monitor progress towards the targets of each Strategy, undertake evaluation and identify emerging issues and opportunities for action.</w:t>
      </w:r>
    </w:p>
    <w:p w14:paraId="2E03E031" w14:textId="77777777" w:rsidR="00BA1F9E" w:rsidRPr="00442D9E" w:rsidRDefault="00BA1F9E" w:rsidP="00BA1F9E">
      <w:pPr>
        <w:pStyle w:val="BodyText"/>
        <w:spacing w:after="0"/>
        <w:jc w:val="both"/>
        <w:rPr>
          <w:rFonts w:cs="Arial"/>
          <w:color w:val="000000" w:themeColor="text1"/>
          <w:sz w:val="22"/>
          <w:szCs w:val="22"/>
        </w:rPr>
      </w:pPr>
    </w:p>
    <w:p w14:paraId="65BC7F5B" w14:textId="08F589AF" w:rsidR="00BA1F9E" w:rsidRPr="00442D9E" w:rsidRDefault="00BA1F9E" w:rsidP="00BA1F9E">
      <w:pPr>
        <w:pStyle w:val="BodyText"/>
        <w:spacing w:after="0"/>
        <w:jc w:val="both"/>
        <w:rPr>
          <w:rFonts w:cs="Arial"/>
          <w:color w:val="000000" w:themeColor="text1"/>
          <w:sz w:val="22"/>
          <w:szCs w:val="22"/>
        </w:rPr>
      </w:pPr>
      <w:r w:rsidRPr="00442D9E">
        <w:rPr>
          <w:rFonts w:cs="Arial"/>
          <w:color w:val="000000" w:themeColor="text1"/>
          <w:sz w:val="22"/>
          <w:szCs w:val="22"/>
        </w:rPr>
        <w:t>The Fifth National STI Strategy 202</w:t>
      </w:r>
      <w:r w:rsidR="00484085">
        <w:rPr>
          <w:rFonts w:cs="Arial"/>
          <w:color w:val="000000" w:themeColor="text1"/>
          <w:sz w:val="22"/>
          <w:szCs w:val="22"/>
        </w:rPr>
        <w:t>4</w:t>
      </w:r>
      <w:r w:rsidRPr="00442D9E">
        <w:rPr>
          <w:rFonts w:cs="Arial"/>
          <w:color w:val="000000" w:themeColor="text1"/>
          <w:sz w:val="22"/>
          <w:szCs w:val="22"/>
        </w:rPr>
        <w:t>–2030 aims to provide a framework for the efforts of all partners in the response to STI, guiding resourcing decisions and monitoring progress. It is informed by:</w:t>
      </w:r>
    </w:p>
    <w:p w14:paraId="0B6EB1CF" w14:textId="77777777" w:rsidR="00BA1F9E" w:rsidRPr="00442D9E" w:rsidRDefault="00BA1F9E" w:rsidP="00BA1F9E">
      <w:pPr>
        <w:pStyle w:val="BodyText"/>
        <w:spacing w:after="0"/>
        <w:jc w:val="both"/>
        <w:rPr>
          <w:rFonts w:cs="Arial"/>
          <w:color w:val="000000" w:themeColor="text1"/>
          <w:sz w:val="22"/>
          <w:szCs w:val="22"/>
        </w:rPr>
      </w:pPr>
    </w:p>
    <w:p w14:paraId="30A80D52" w14:textId="4CAD3D5F" w:rsidR="00BA1F9E" w:rsidRPr="00442D9E" w:rsidRDefault="005D69B3">
      <w:pPr>
        <w:pStyle w:val="BodyText"/>
        <w:numPr>
          <w:ilvl w:val="0"/>
          <w:numId w:val="10"/>
        </w:numPr>
        <w:spacing w:after="0"/>
        <w:jc w:val="both"/>
        <w:rPr>
          <w:rFonts w:cs="Arial"/>
          <w:color w:val="000000" w:themeColor="text1"/>
          <w:sz w:val="22"/>
          <w:szCs w:val="22"/>
        </w:rPr>
      </w:pPr>
      <w:r>
        <w:rPr>
          <w:rFonts w:cs="Arial"/>
          <w:color w:val="000000" w:themeColor="text1"/>
          <w:sz w:val="22"/>
          <w:szCs w:val="22"/>
        </w:rPr>
        <w:t>p</w:t>
      </w:r>
      <w:r w:rsidR="00BA1F9E" w:rsidRPr="00442D9E">
        <w:rPr>
          <w:rFonts w:cs="Arial"/>
          <w:color w:val="000000" w:themeColor="text1"/>
          <w:sz w:val="22"/>
          <w:szCs w:val="22"/>
        </w:rPr>
        <w:t>rogress made under the Fourth National STI Strategy 2018–2022</w:t>
      </w:r>
      <w:r w:rsidR="008B43F1">
        <w:rPr>
          <w:rFonts w:ascii="ZWAdobeF" w:hAnsi="ZWAdobeF" w:cs="ZWAdobeF"/>
          <w:sz w:val="2"/>
          <w:szCs w:val="2"/>
        </w:rPr>
        <w:t>30F</w:t>
      </w:r>
      <w:r w:rsidR="00983F99">
        <w:rPr>
          <w:rStyle w:val="EndnoteReference"/>
          <w:rFonts w:cs="Arial"/>
          <w:color w:val="000000" w:themeColor="text1"/>
          <w:sz w:val="22"/>
          <w:szCs w:val="22"/>
        </w:rPr>
        <w:endnoteReference w:id="30"/>
      </w:r>
    </w:p>
    <w:p w14:paraId="3A13C254" w14:textId="4557C028" w:rsidR="00BA1F9E" w:rsidRPr="00442D9E" w:rsidRDefault="005D69B3">
      <w:pPr>
        <w:pStyle w:val="BodyText"/>
        <w:numPr>
          <w:ilvl w:val="0"/>
          <w:numId w:val="10"/>
        </w:numPr>
        <w:spacing w:after="0"/>
        <w:jc w:val="both"/>
        <w:rPr>
          <w:rFonts w:cs="Arial"/>
          <w:color w:val="000000" w:themeColor="text1"/>
          <w:sz w:val="22"/>
          <w:szCs w:val="22"/>
        </w:rPr>
      </w:pPr>
      <w:r>
        <w:rPr>
          <w:rFonts w:cs="Arial"/>
          <w:color w:val="000000" w:themeColor="text1"/>
          <w:sz w:val="22"/>
          <w:szCs w:val="22"/>
        </w:rPr>
        <w:t>t</w:t>
      </w:r>
      <w:r w:rsidR="00BA1F9E" w:rsidRPr="00442D9E">
        <w:rPr>
          <w:rFonts w:cs="Arial"/>
          <w:color w:val="000000" w:themeColor="text1"/>
          <w:sz w:val="22"/>
          <w:szCs w:val="22"/>
        </w:rPr>
        <w:t>he effectiveness of current and past responses to STI in Australia and internationally</w:t>
      </w:r>
    </w:p>
    <w:p w14:paraId="2312EB8E" w14:textId="34EBE5BD" w:rsidR="00BA1F9E" w:rsidRPr="00442D9E" w:rsidRDefault="005D69B3">
      <w:pPr>
        <w:pStyle w:val="BodyText"/>
        <w:numPr>
          <w:ilvl w:val="0"/>
          <w:numId w:val="10"/>
        </w:numPr>
        <w:spacing w:after="0"/>
        <w:jc w:val="both"/>
        <w:rPr>
          <w:rFonts w:cs="Arial"/>
          <w:color w:val="000000" w:themeColor="text1"/>
          <w:sz w:val="22"/>
          <w:szCs w:val="22"/>
        </w:rPr>
      </w:pPr>
      <w:r>
        <w:rPr>
          <w:rFonts w:cs="Arial"/>
          <w:color w:val="000000" w:themeColor="text1"/>
          <w:sz w:val="22"/>
          <w:szCs w:val="22"/>
        </w:rPr>
        <w:t>t</w:t>
      </w:r>
      <w:r w:rsidR="00BA1F9E" w:rsidRPr="00442D9E">
        <w:rPr>
          <w:rFonts w:cs="Arial"/>
          <w:color w:val="000000" w:themeColor="text1"/>
          <w:sz w:val="22"/>
          <w:szCs w:val="22"/>
        </w:rPr>
        <w:t>he identification of gaps, opportunities and emerging issues or diseases</w:t>
      </w:r>
    </w:p>
    <w:p w14:paraId="27E374AA" w14:textId="15993F42" w:rsidR="00BA1F9E" w:rsidRPr="00442D9E" w:rsidRDefault="005D69B3">
      <w:pPr>
        <w:pStyle w:val="BodyText"/>
        <w:numPr>
          <w:ilvl w:val="0"/>
          <w:numId w:val="10"/>
        </w:numPr>
        <w:spacing w:after="0"/>
        <w:jc w:val="both"/>
        <w:rPr>
          <w:rFonts w:cs="Arial"/>
          <w:color w:val="000000" w:themeColor="text1"/>
          <w:sz w:val="22"/>
          <w:szCs w:val="22"/>
        </w:rPr>
      </w:pPr>
      <w:r>
        <w:rPr>
          <w:rFonts w:cs="Arial"/>
          <w:color w:val="000000" w:themeColor="text1"/>
          <w:sz w:val="22"/>
          <w:szCs w:val="22"/>
        </w:rPr>
        <w:t>c</w:t>
      </w:r>
      <w:r w:rsidR="00BA1F9E" w:rsidRPr="00442D9E">
        <w:rPr>
          <w:rFonts w:cs="Arial"/>
          <w:color w:val="000000" w:themeColor="text1"/>
          <w:sz w:val="22"/>
          <w:szCs w:val="22"/>
        </w:rPr>
        <w:t>onsultation with governments, community organisations, researchers, health professionals</w:t>
      </w:r>
      <w:r w:rsidR="00B47558">
        <w:rPr>
          <w:rFonts w:cs="Arial"/>
          <w:color w:val="000000" w:themeColor="text1"/>
          <w:sz w:val="22"/>
          <w:szCs w:val="22"/>
        </w:rPr>
        <w:t>,</w:t>
      </w:r>
      <w:r w:rsidR="00BA1F9E" w:rsidRPr="00442D9E">
        <w:rPr>
          <w:rFonts w:cs="Arial"/>
          <w:color w:val="000000" w:themeColor="text1"/>
          <w:sz w:val="22"/>
          <w:szCs w:val="22"/>
        </w:rPr>
        <w:t xml:space="preserve"> and other stakeholders across the country</w:t>
      </w:r>
    </w:p>
    <w:p w14:paraId="5BFF5B93" w14:textId="1B8F1855" w:rsidR="00BA1F9E" w:rsidRPr="00442D9E" w:rsidRDefault="005D69B3">
      <w:pPr>
        <w:pStyle w:val="BodyText"/>
        <w:numPr>
          <w:ilvl w:val="0"/>
          <w:numId w:val="10"/>
        </w:numPr>
        <w:spacing w:after="0"/>
        <w:jc w:val="both"/>
        <w:rPr>
          <w:rFonts w:cs="Arial"/>
          <w:color w:val="000000" w:themeColor="text1"/>
          <w:sz w:val="22"/>
          <w:szCs w:val="22"/>
        </w:rPr>
      </w:pPr>
      <w:r>
        <w:rPr>
          <w:rFonts w:cs="Arial"/>
          <w:color w:val="000000" w:themeColor="text1"/>
          <w:sz w:val="22"/>
          <w:szCs w:val="22"/>
        </w:rPr>
        <w:t>a</w:t>
      </w:r>
      <w:r w:rsidR="00BA1F9E" w:rsidRPr="00442D9E">
        <w:rPr>
          <w:rFonts w:cs="Arial"/>
          <w:color w:val="000000" w:themeColor="text1"/>
          <w:sz w:val="22"/>
          <w:szCs w:val="22"/>
        </w:rPr>
        <w:t xml:space="preserve"> range of surveillance data and research on STI in Australia, including the impact of STI on priority populations</w:t>
      </w:r>
      <w:r w:rsidR="00E57FB8">
        <w:rPr>
          <w:rFonts w:cs="Arial"/>
          <w:color w:val="000000" w:themeColor="text1"/>
          <w:sz w:val="22"/>
          <w:szCs w:val="22"/>
        </w:rPr>
        <w:t>.</w:t>
      </w:r>
    </w:p>
    <w:p w14:paraId="6E68EA9F" w14:textId="77777777" w:rsidR="00BA1F9E" w:rsidRPr="00442D9E" w:rsidRDefault="00BA1F9E" w:rsidP="00BA1F9E">
      <w:pPr>
        <w:pStyle w:val="BodyText"/>
        <w:spacing w:after="0"/>
        <w:jc w:val="both"/>
        <w:rPr>
          <w:rFonts w:cs="Arial"/>
          <w:color w:val="000000" w:themeColor="text1"/>
          <w:sz w:val="22"/>
          <w:szCs w:val="22"/>
        </w:rPr>
      </w:pPr>
    </w:p>
    <w:p w14:paraId="49FDB5E5" w14:textId="2862A896" w:rsidR="00BA1F9E" w:rsidRPr="00442D9E" w:rsidRDefault="00BA1F9E" w:rsidP="00BA1F9E">
      <w:pPr>
        <w:pStyle w:val="BodyText"/>
        <w:spacing w:after="0"/>
        <w:jc w:val="both"/>
        <w:rPr>
          <w:rFonts w:cs="Arial"/>
          <w:color w:val="000000" w:themeColor="text1"/>
          <w:sz w:val="22"/>
          <w:szCs w:val="22"/>
        </w:rPr>
      </w:pPr>
      <w:r w:rsidRPr="00442D9E">
        <w:rPr>
          <w:rFonts w:cs="Arial"/>
          <w:color w:val="000000" w:themeColor="text1"/>
          <w:sz w:val="22"/>
          <w:szCs w:val="22"/>
        </w:rPr>
        <w:t xml:space="preserve">This </w:t>
      </w:r>
      <w:r w:rsidR="004155F9">
        <w:rPr>
          <w:rFonts w:cs="Arial"/>
          <w:color w:val="000000" w:themeColor="text1"/>
          <w:sz w:val="22"/>
          <w:szCs w:val="22"/>
        </w:rPr>
        <w:t>S</w:t>
      </w:r>
      <w:r w:rsidRPr="00442D9E">
        <w:rPr>
          <w:rFonts w:cs="Arial"/>
          <w:color w:val="000000" w:themeColor="text1"/>
          <w:sz w:val="22"/>
          <w:szCs w:val="22"/>
        </w:rPr>
        <w:t>trategy complements other jurisdictional, national</w:t>
      </w:r>
      <w:r w:rsidR="00B47558">
        <w:rPr>
          <w:rFonts w:cs="Arial"/>
          <w:color w:val="000000" w:themeColor="text1"/>
          <w:sz w:val="22"/>
          <w:szCs w:val="22"/>
        </w:rPr>
        <w:t>,</w:t>
      </w:r>
      <w:r w:rsidRPr="00442D9E">
        <w:rPr>
          <w:rFonts w:cs="Arial"/>
          <w:color w:val="000000" w:themeColor="text1"/>
          <w:sz w:val="22"/>
          <w:szCs w:val="22"/>
        </w:rPr>
        <w:t xml:space="preserve"> and international policy documents that contribute to the national STI response and support the achievement of existing commitments. These include:</w:t>
      </w:r>
    </w:p>
    <w:p w14:paraId="2537EDD5" w14:textId="77777777" w:rsidR="00BA1F9E" w:rsidRPr="00442D9E" w:rsidRDefault="00BA1F9E" w:rsidP="00BA1F9E">
      <w:pPr>
        <w:pStyle w:val="BodyText"/>
        <w:spacing w:after="0"/>
        <w:jc w:val="both"/>
        <w:rPr>
          <w:rFonts w:cs="Arial"/>
          <w:color w:val="000000" w:themeColor="text1"/>
          <w:sz w:val="22"/>
          <w:szCs w:val="22"/>
        </w:rPr>
      </w:pPr>
    </w:p>
    <w:p w14:paraId="6DABBD79" w14:textId="4EAFB5F2" w:rsidR="00BA1F9E" w:rsidRPr="00442D9E" w:rsidRDefault="00801689">
      <w:pPr>
        <w:pStyle w:val="BodyText"/>
        <w:numPr>
          <w:ilvl w:val="0"/>
          <w:numId w:val="10"/>
        </w:numPr>
        <w:spacing w:after="0"/>
        <w:jc w:val="both"/>
        <w:rPr>
          <w:rFonts w:cs="Arial"/>
          <w:color w:val="000000" w:themeColor="text1"/>
          <w:sz w:val="22"/>
          <w:szCs w:val="22"/>
        </w:rPr>
      </w:pPr>
      <w:r>
        <w:rPr>
          <w:rFonts w:cs="Arial"/>
          <w:color w:val="000000" w:themeColor="text1"/>
          <w:sz w:val="22"/>
          <w:szCs w:val="22"/>
        </w:rPr>
        <w:t>S</w:t>
      </w:r>
      <w:r w:rsidR="00BA1F9E" w:rsidRPr="00442D9E">
        <w:rPr>
          <w:rFonts w:cs="Arial"/>
          <w:color w:val="000000" w:themeColor="text1"/>
          <w:sz w:val="22"/>
          <w:szCs w:val="22"/>
        </w:rPr>
        <w:t>tate and territory STI strategies and action plans</w:t>
      </w:r>
    </w:p>
    <w:p w14:paraId="7090B487" w14:textId="2D1830AB"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National Drug Strategy 2017–2026</w:t>
      </w:r>
      <w:r w:rsidR="008B43F1">
        <w:rPr>
          <w:rFonts w:ascii="ZWAdobeF" w:hAnsi="ZWAdobeF" w:cs="ZWAdobeF"/>
          <w:sz w:val="2"/>
          <w:szCs w:val="2"/>
        </w:rPr>
        <w:t>31F</w:t>
      </w:r>
      <w:r w:rsidRPr="00442D9E">
        <w:rPr>
          <w:rStyle w:val="EndnoteReference"/>
          <w:rFonts w:cs="Arial"/>
          <w:color w:val="000000" w:themeColor="text1"/>
        </w:rPr>
        <w:endnoteReference w:id="31"/>
      </w:r>
    </w:p>
    <w:p w14:paraId="7A6A9CB2" w14:textId="140FCAB8"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World Health Organization</w:t>
      </w:r>
      <w:r w:rsidR="004155F9">
        <w:rPr>
          <w:rFonts w:cs="Arial"/>
          <w:color w:val="000000" w:themeColor="text1"/>
          <w:sz w:val="22"/>
          <w:szCs w:val="22"/>
        </w:rPr>
        <w:t xml:space="preserve"> (WHO)</w:t>
      </w:r>
      <w:r w:rsidRPr="00442D9E">
        <w:rPr>
          <w:rFonts w:cs="Arial"/>
          <w:color w:val="000000" w:themeColor="text1"/>
          <w:sz w:val="22"/>
          <w:szCs w:val="22"/>
        </w:rPr>
        <w:t xml:space="preserve"> Global Health Sector Strategies, respectively, on HIV, Viral Hepatitis and Sexually Transmitted Infections 2022–2030</w:t>
      </w:r>
      <w:r w:rsidR="008B43F1">
        <w:rPr>
          <w:rFonts w:ascii="ZWAdobeF" w:hAnsi="ZWAdobeF" w:cs="ZWAdobeF"/>
          <w:sz w:val="2"/>
          <w:szCs w:val="2"/>
        </w:rPr>
        <w:t>32F</w:t>
      </w:r>
      <w:r w:rsidRPr="00442D9E">
        <w:rPr>
          <w:rStyle w:val="EndnoteReference"/>
          <w:rFonts w:cs="Arial"/>
          <w:color w:val="000000" w:themeColor="text1"/>
        </w:rPr>
        <w:endnoteReference w:id="32"/>
      </w:r>
    </w:p>
    <w:p w14:paraId="670A4A07" w14:textId="3CE0A9F8" w:rsidR="00BA1F9E" w:rsidRPr="00442D9E" w:rsidRDefault="004155F9">
      <w:pPr>
        <w:pStyle w:val="BodyText"/>
        <w:numPr>
          <w:ilvl w:val="0"/>
          <w:numId w:val="10"/>
        </w:numPr>
        <w:spacing w:after="0"/>
        <w:jc w:val="both"/>
        <w:rPr>
          <w:rFonts w:cs="Arial"/>
          <w:color w:val="000000" w:themeColor="text1"/>
          <w:sz w:val="22"/>
          <w:szCs w:val="22"/>
        </w:rPr>
      </w:pPr>
      <w:r>
        <w:rPr>
          <w:rFonts w:cs="Arial"/>
          <w:color w:val="000000" w:themeColor="text1"/>
          <w:sz w:val="22"/>
          <w:szCs w:val="22"/>
        </w:rPr>
        <w:t>WHO</w:t>
      </w:r>
      <w:r w:rsidR="003951A7" w:rsidRPr="00442D9E">
        <w:rPr>
          <w:rFonts w:cs="Arial"/>
          <w:color w:val="000000" w:themeColor="text1"/>
          <w:sz w:val="22"/>
          <w:szCs w:val="22"/>
        </w:rPr>
        <w:t xml:space="preserve"> </w:t>
      </w:r>
      <w:r w:rsidR="00BA1F9E" w:rsidRPr="00442D9E">
        <w:rPr>
          <w:rFonts w:cs="Arial"/>
          <w:color w:val="000000" w:themeColor="text1"/>
          <w:sz w:val="22"/>
          <w:szCs w:val="22"/>
        </w:rPr>
        <w:t>Global Progress Report on HIV, Viral Hepatitis and Sexually Transmitted Infections, 2021</w:t>
      </w:r>
      <w:r w:rsidR="008B43F1">
        <w:rPr>
          <w:rFonts w:ascii="ZWAdobeF" w:hAnsi="ZWAdobeF" w:cs="ZWAdobeF"/>
          <w:sz w:val="2"/>
          <w:szCs w:val="2"/>
        </w:rPr>
        <w:t>33F</w:t>
      </w:r>
      <w:r w:rsidR="00BA1F9E" w:rsidRPr="00442D9E">
        <w:rPr>
          <w:rFonts w:cs="Arial"/>
          <w:sz w:val="22"/>
          <w:szCs w:val="22"/>
          <w:vertAlign w:val="superscript"/>
        </w:rPr>
        <w:endnoteReference w:id="33"/>
      </w:r>
    </w:p>
    <w:p w14:paraId="10C6E801" w14:textId="11E5609E"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National Preventive Health Strategy 2021–2030</w:t>
      </w:r>
      <w:r w:rsidR="008B43F1">
        <w:rPr>
          <w:rFonts w:ascii="ZWAdobeF" w:hAnsi="ZWAdobeF" w:cs="ZWAdobeF"/>
          <w:sz w:val="2"/>
          <w:szCs w:val="2"/>
        </w:rPr>
        <w:t>34F</w:t>
      </w:r>
      <w:r w:rsidRPr="00442D9E">
        <w:rPr>
          <w:rStyle w:val="EndnoteReference"/>
          <w:rFonts w:cs="Arial"/>
          <w:color w:val="000000" w:themeColor="text1"/>
        </w:rPr>
        <w:endnoteReference w:id="34"/>
      </w:r>
    </w:p>
    <w:p w14:paraId="39BF32B3" w14:textId="27B858DA" w:rsidR="00BA1F9E" w:rsidRPr="00442D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lastRenderedPageBreak/>
        <w:t>National Ice Action Strategy 2015</w:t>
      </w:r>
      <w:r w:rsidR="008B43F1">
        <w:rPr>
          <w:rFonts w:ascii="ZWAdobeF" w:hAnsi="ZWAdobeF" w:cs="ZWAdobeF"/>
          <w:sz w:val="2"/>
          <w:szCs w:val="2"/>
        </w:rPr>
        <w:t>35F</w:t>
      </w:r>
      <w:r w:rsidRPr="00442D9E">
        <w:rPr>
          <w:rStyle w:val="EndnoteReference"/>
          <w:rFonts w:cs="Arial"/>
          <w:color w:val="000000" w:themeColor="text1"/>
        </w:rPr>
        <w:endnoteReference w:id="35"/>
      </w:r>
    </w:p>
    <w:p w14:paraId="7708C9AD" w14:textId="663579A9" w:rsidR="00BA1F9E" w:rsidRDefault="00BA1F9E">
      <w:pPr>
        <w:pStyle w:val="BodyText"/>
        <w:numPr>
          <w:ilvl w:val="0"/>
          <w:numId w:val="10"/>
        </w:numPr>
        <w:spacing w:after="0"/>
        <w:jc w:val="both"/>
        <w:rPr>
          <w:rFonts w:cs="Arial"/>
          <w:color w:val="000000" w:themeColor="text1"/>
          <w:sz w:val="22"/>
          <w:szCs w:val="22"/>
        </w:rPr>
      </w:pPr>
      <w:r w:rsidRPr="00442D9E">
        <w:rPr>
          <w:rFonts w:cs="Arial"/>
          <w:color w:val="000000" w:themeColor="text1"/>
          <w:sz w:val="22"/>
          <w:szCs w:val="22"/>
        </w:rPr>
        <w:t>Australia’s Primary Health Care 10 Year Plan 2022–2032</w:t>
      </w:r>
      <w:r w:rsidR="004155F9">
        <w:rPr>
          <w:rFonts w:cs="Arial"/>
          <w:color w:val="000000" w:themeColor="text1"/>
          <w:sz w:val="22"/>
          <w:szCs w:val="22"/>
        </w:rPr>
        <w:t>.</w:t>
      </w:r>
      <w:r w:rsidR="008B43F1">
        <w:rPr>
          <w:rFonts w:ascii="ZWAdobeF" w:hAnsi="ZWAdobeF" w:cs="ZWAdobeF"/>
          <w:sz w:val="2"/>
          <w:szCs w:val="2"/>
        </w:rPr>
        <w:t>36F</w:t>
      </w:r>
      <w:r w:rsidR="008D3EEB" w:rsidRPr="00442D9E">
        <w:rPr>
          <w:rStyle w:val="EndnoteReference"/>
          <w:rFonts w:cs="Arial"/>
          <w:color w:val="000000" w:themeColor="text1"/>
          <w:sz w:val="22"/>
          <w:szCs w:val="22"/>
        </w:rPr>
        <w:endnoteReference w:id="36"/>
      </w:r>
    </w:p>
    <w:p w14:paraId="6CE2B896" w14:textId="2C8939C3" w:rsidR="00746F9C" w:rsidRPr="00746F9C" w:rsidRDefault="00746F9C" w:rsidP="00746F9C">
      <w:pPr>
        <w:pStyle w:val="BodyText"/>
        <w:numPr>
          <w:ilvl w:val="0"/>
          <w:numId w:val="10"/>
        </w:numPr>
        <w:spacing w:after="0"/>
        <w:jc w:val="both"/>
        <w:rPr>
          <w:rFonts w:cs="Arial"/>
          <w:color w:val="000000" w:themeColor="text1"/>
          <w:sz w:val="22"/>
          <w:szCs w:val="22"/>
        </w:rPr>
      </w:pPr>
      <w:r w:rsidRPr="00ED0E53">
        <w:rPr>
          <w:rFonts w:cs="Arial"/>
          <w:color w:val="000000" w:themeColor="text1"/>
          <w:sz w:val="22"/>
          <w:szCs w:val="22"/>
        </w:rPr>
        <w:t>Australia’s National Antimicrobial Resistance Strategy – 2020 and beyond</w:t>
      </w:r>
      <w:r w:rsidR="008B43F1">
        <w:rPr>
          <w:rFonts w:ascii="ZWAdobeF" w:hAnsi="ZWAdobeF" w:cs="ZWAdobeF"/>
          <w:sz w:val="2"/>
          <w:szCs w:val="2"/>
        </w:rPr>
        <w:t>37F</w:t>
      </w:r>
      <w:r w:rsidR="00F47662">
        <w:rPr>
          <w:rStyle w:val="EndnoteReference"/>
          <w:rFonts w:cs="Arial"/>
          <w:color w:val="000000" w:themeColor="text1"/>
          <w:sz w:val="22"/>
          <w:szCs w:val="22"/>
        </w:rPr>
        <w:endnoteReference w:id="37"/>
      </w:r>
    </w:p>
    <w:p w14:paraId="272DEB15" w14:textId="77777777" w:rsidR="00BA1F9E" w:rsidRPr="00442D9E" w:rsidRDefault="00BA1F9E" w:rsidP="00BA1F9E">
      <w:pPr>
        <w:pStyle w:val="BodyText"/>
        <w:spacing w:after="0"/>
        <w:jc w:val="both"/>
        <w:rPr>
          <w:rFonts w:eastAsiaTheme="minorEastAsia" w:cs="Arial"/>
          <w:color w:val="000000" w:themeColor="text1"/>
          <w:sz w:val="22"/>
          <w:szCs w:val="22"/>
        </w:rPr>
      </w:pPr>
    </w:p>
    <w:p w14:paraId="27A05A93" w14:textId="2AED2866" w:rsidR="00BA1F9E" w:rsidRPr="00442D9E" w:rsidRDefault="00BA1F9E" w:rsidP="14D4AF7B">
      <w:pPr>
        <w:pStyle w:val="BodyText"/>
        <w:spacing w:after="0"/>
        <w:jc w:val="both"/>
        <w:rPr>
          <w:rFonts w:eastAsiaTheme="minorEastAsia" w:cs="Arial"/>
          <w:color w:val="000000" w:themeColor="text1"/>
          <w:sz w:val="22"/>
          <w:szCs w:val="22"/>
        </w:rPr>
      </w:pPr>
      <w:r w:rsidRPr="007F2EF8">
        <w:rPr>
          <w:rFonts w:eastAsiaTheme="minorEastAsia" w:cs="Arial"/>
          <w:color w:val="000000" w:themeColor="text1"/>
          <w:sz w:val="22"/>
          <w:szCs w:val="22"/>
        </w:rPr>
        <w:t xml:space="preserve">This </w:t>
      </w:r>
      <w:r w:rsidR="00F15623" w:rsidRPr="007F2EF8">
        <w:rPr>
          <w:rFonts w:eastAsiaTheme="minorEastAsia" w:cs="Arial"/>
          <w:color w:val="000000" w:themeColor="text1"/>
          <w:sz w:val="22"/>
          <w:szCs w:val="22"/>
        </w:rPr>
        <w:t>Strategy</w:t>
      </w:r>
      <w:r w:rsidR="00F15623" w:rsidRPr="007F2EF8" w:rsidDel="00F15623">
        <w:rPr>
          <w:rFonts w:eastAsiaTheme="minorEastAsia" w:cs="Arial"/>
          <w:color w:val="000000" w:themeColor="text1"/>
          <w:sz w:val="22"/>
          <w:szCs w:val="22"/>
        </w:rPr>
        <w:t xml:space="preserve"> </w:t>
      </w:r>
      <w:r w:rsidRPr="007F2EF8">
        <w:rPr>
          <w:rFonts w:eastAsiaTheme="minorEastAsia" w:cs="Arial"/>
          <w:color w:val="000000" w:themeColor="text1"/>
          <w:sz w:val="22"/>
          <w:szCs w:val="22"/>
        </w:rPr>
        <w:t>acknowledges that some states and territories have</w:t>
      </w:r>
      <w:r w:rsidR="423C750B" w:rsidRPr="007F2EF8">
        <w:rPr>
          <w:rFonts w:eastAsiaTheme="minorEastAsia" w:cs="Arial"/>
          <w:color w:val="000000" w:themeColor="text1"/>
          <w:sz w:val="22"/>
          <w:szCs w:val="22"/>
        </w:rPr>
        <w:t xml:space="preserve"> or may</w:t>
      </w:r>
      <w:r w:rsidRPr="007F2EF8">
        <w:rPr>
          <w:rFonts w:eastAsiaTheme="minorEastAsia" w:cs="Arial"/>
          <w:color w:val="000000" w:themeColor="text1"/>
          <w:sz w:val="22"/>
          <w:szCs w:val="22"/>
        </w:rPr>
        <w:t xml:space="preserve"> set different targets to drive progress and that the goals and targets of this strategy are intended to facilitate jurisdictional efforts. Wherever possible, other jurisdictions are encouraged to match or exceed the targets of this </w:t>
      </w:r>
      <w:r w:rsidR="00401758">
        <w:rPr>
          <w:rFonts w:eastAsiaTheme="minorEastAsia" w:cs="Arial"/>
          <w:color w:val="000000" w:themeColor="text1"/>
          <w:sz w:val="22"/>
          <w:szCs w:val="22"/>
        </w:rPr>
        <w:t>S</w:t>
      </w:r>
      <w:r w:rsidRPr="007F2EF8">
        <w:rPr>
          <w:rFonts w:eastAsiaTheme="minorEastAsia" w:cs="Arial"/>
          <w:color w:val="000000" w:themeColor="text1"/>
          <w:sz w:val="22"/>
          <w:szCs w:val="22"/>
        </w:rPr>
        <w:t>trategy.</w:t>
      </w:r>
    </w:p>
    <w:p w14:paraId="4DBF79FD" w14:textId="77777777" w:rsidR="00BA1F9E" w:rsidRPr="00442D9E" w:rsidRDefault="00BA1F9E" w:rsidP="00BA1F9E">
      <w:pPr>
        <w:jc w:val="both"/>
        <w:rPr>
          <w:rFonts w:cs="Arial"/>
          <w:color w:val="000000" w:themeColor="text1"/>
          <w:sz w:val="22"/>
          <w:szCs w:val="22"/>
        </w:rPr>
      </w:pPr>
    </w:p>
    <w:p w14:paraId="45B7CEC7" w14:textId="6AA82670" w:rsidR="00BA1F9E" w:rsidRPr="00442D9E" w:rsidRDefault="00BA1F9E" w:rsidP="14D4AF7B">
      <w:pPr>
        <w:jc w:val="both"/>
        <w:rPr>
          <w:rFonts w:eastAsiaTheme="minorEastAsia" w:cs="Arial"/>
          <w:color w:val="000000" w:themeColor="text1"/>
          <w:sz w:val="22"/>
          <w:szCs w:val="22"/>
        </w:rPr>
      </w:pPr>
      <w:r w:rsidRPr="00442D9E">
        <w:rPr>
          <w:rFonts w:cs="Arial"/>
          <w:color w:val="000000" w:themeColor="text1"/>
          <w:sz w:val="22"/>
          <w:szCs w:val="22"/>
        </w:rPr>
        <w:t xml:space="preserve">This </w:t>
      </w:r>
      <w:r w:rsidR="004155F9">
        <w:rPr>
          <w:rFonts w:cs="Arial"/>
          <w:color w:val="000000" w:themeColor="text1"/>
          <w:sz w:val="22"/>
          <w:szCs w:val="22"/>
        </w:rPr>
        <w:t>S</w:t>
      </w:r>
      <w:r w:rsidRPr="00442D9E">
        <w:rPr>
          <w:rFonts w:cs="Arial"/>
          <w:color w:val="000000" w:themeColor="text1"/>
          <w:sz w:val="22"/>
          <w:szCs w:val="22"/>
        </w:rPr>
        <w:t>trategy also supports progress towards Sustainable Development Goal 3 (‘Ensure healthy lives and promote well-being for all at all ages’) of the United Nations 2030 Agenda for Sustainable Development.</w:t>
      </w:r>
      <w:r w:rsidR="008B43F1">
        <w:rPr>
          <w:rFonts w:ascii="ZWAdobeF" w:hAnsi="ZWAdobeF" w:cs="ZWAdobeF"/>
          <w:sz w:val="2"/>
          <w:szCs w:val="2"/>
        </w:rPr>
        <w:t>38F</w:t>
      </w:r>
      <w:r w:rsidR="0097394F">
        <w:rPr>
          <w:rStyle w:val="EndnoteReference"/>
          <w:rFonts w:cs="Arial"/>
          <w:color w:val="000000" w:themeColor="text1"/>
          <w:sz w:val="22"/>
          <w:szCs w:val="22"/>
        </w:rPr>
        <w:endnoteReference w:id="38"/>
      </w:r>
      <w:r w:rsidRPr="00442D9E">
        <w:rPr>
          <w:rFonts w:cs="Arial"/>
          <w:color w:val="000000" w:themeColor="text1"/>
          <w:sz w:val="22"/>
          <w:szCs w:val="22"/>
        </w:rPr>
        <w:t xml:space="preserve"> Sexual health and rights are essential for sustainable development because of the links in reducing morbidity and mortality, addressing inequities and shaping future economic development and environmental sustainability.</w:t>
      </w:r>
      <w:r w:rsidR="008B43F1">
        <w:rPr>
          <w:rFonts w:ascii="ZWAdobeF" w:hAnsi="ZWAdobeF" w:cs="ZWAdobeF"/>
          <w:sz w:val="2"/>
          <w:szCs w:val="2"/>
        </w:rPr>
        <w:t>39F</w:t>
      </w:r>
      <w:r w:rsidRPr="00442D9E">
        <w:rPr>
          <w:rFonts w:cs="Arial"/>
          <w:color w:val="000000" w:themeColor="text1"/>
          <w:sz w:val="22"/>
          <w:szCs w:val="22"/>
          <w:vertAlign w:val="superscript"/>
        </w:rPr>
        <w:endnoteReference w:id="39"/>
      </w:r>
      <w:r w:rsidRPr="00442D9E">
        <w:rPr>
          <w:rFonts w:cs="Arial"/>
          <w:color w:val="000000" w:themeColor="text1"/>
          <w:sz w:val="22"/>
          <w:szCs w:val="22"/>
        </w:rPr>
        <w:t xml:space="preserve"> </w:t>
      </w:r>
      <w:r w:rsidRPr="14D4AF7B">
        <w:rPr>
          <w:rFonts w:eastAsiaTheme="minorEastAsia" w:cs="Arial"/>
          <w:color w:val="000000" w:themeColor="text1"/>
          <w:sz w:val="22"/>
          <w:szCs w:val="22"/>
        </w:rPr>
        <w:t xml:space="preserve">Meeting and exceeding international obligations and targets for STI are a critical part of Australia’s response, and Australia supports </w:t>
      </w:r>
      <w:r w:rsidR="003C248B" w:rsidRPr="14D4AF7B">
        <w:rPr>
          <w:rFonts w:eastAsiaTheme="minorEastAsia" w:cs="Arial"/>
          <w:color w:val="000000" w:themeColor="text1"/>
          <w:sz w:val="22"/>
          <w:szCs w:val="22"/>
        </w:rPr>
        <w:t xml:space="preserve">the </w:t>
      </w:r>
      <w:r w:rsidRPr="14D4AF7B">
        <w:rPr>
          <w:rFonts w:eastAsiaTheme="minorEastAsia" w:cs="Arial"/>
          <w:color w:val="000000" w:themeColor="text1"/>
          <w:sz w:val="22"/>
          <w:szCs w:val="22"/>
        </w:rPr>
        <w:t>WHO’s Global Health Sector Strategy on Sexually Transmitted Infections.</w:t>
      </w:r>
      <w:r w:rsidR="008B43F1">
        <w:rPr>
          <w:rFonts w:ascii="ZWAdobeF" w:eastAsiaTheme="minorEastAsia" w:hAnsi="ZWAdobeF" w:cs="ZWAdobeF"/>
          <w:sz w:val="2"/>
          <w:szCs w:val="2"/>
        </w:rPr>
        <w:t>40F</w:t>
      </w:r>
      <w:r w:rsidRPr="14D4AF7B">
        <w:rPr>
          <w:rStyle w:val="EndnoteReference"/>
          <w:rFonts w:eastAsiaTheme="minorEastAsia" w:cs="Arial"/>
          <w:color w:val="000000" w:themeColor="text1"/>
          <w:sz w:val="22"/>
          <w:szCs w:val="22"/>
        </w:rPr>
        <w:endnoteReference w:id="40"/>
      </w:r>
    </w:p>
    <w:p w14:paraId="37848967" w14:textId="77777777" w:rsidR="00BA1F9E" w:rsidRPr="00442D9E" w:rsidRDefault="00BA1F9E" w:rsidP="00BA1F9E">
      <w:pPr>
        <w:jc w:val="both"/>
        <w:rPr>
          <w:rFonts w:eastAsiaTheme="minorEastAsia" w:cs="Arial"/>
          <w:color w:val="000000" w:themeColor="text1"/>
          <w:sz w:val="22"/>
          <w:szCs w:val="22"/>
        </w:rPr>
      </w:pPr>
    </w:p>
    <w:p w14:paraId="26FFAA85" w14:textId="4360EE2D" w:rsidR="00EA0200" w:rsidRPr="00F45203" w:rsidRDefault="2760E99C" w:rsidP="00BA1F9E">
      <w:pPr>
        <w:jc w:val="both"/>
        <w:rPr>
          <w:rFonts w:cs="Arial"/>
          <w:color w:val="000000" w:themeColor="text1"/>
          <w:sz w:val="22"/>
          <w:szCs w:val="22"/>
        </w:rPr>
      </w:pPr>
      <w:r w:rsidRPr="0AD8DA66">
        <w:rPr>
          <w:rFonts w:cs="Arial"/>
          <w:color w:val="000000" w:themeColor="text1"/>
          <w:sz w:val="22"/>
          <w:szCs w:val="22"/>
        </w:rPr>
        <w:t xml:space="preserve">The Strategy’s purpose is to </w:t>
      </w:r>
      <w:r w:rsidR="4A800618" w:rsidRPr="0AD8DA66">
        <w:rPr>
          <w:rFonts w:cs="Arial"/>
          <w:color w:val="000000" w:themeColor="text1"/>
          <w:sz w:val="22"/>
          <w:szCs w:val="22"/>
        </w:rPr>
        <w:t>lay out</w:t>
      </w:r>
      <w:r w:rsidR="6BB5E20E" w:rsidRPr="0AD8DA66">
        <w:rPr>
          <w:rFonts w:cs="Arial"/>
          <w:color w:val="000000" w:themeColor="text1"/>
          <w:sz w:val="22"/>
          <w:szCs w:val="22"/>
        </w:rPr>
        <w:t xml:space="preserve"> </w:t>
      </w:r>
      <w:r w:rsidRPr="0AD8DA66">
        <w:rPr>
          <w:rFonts w:cs="Arial"/>
          <w:color w:val="000000" w:themeColor="text1"/>
          <w:sz w:val="22"/>
          <w:szCs w:val="22"/>
        </w:rPr>
        <w:t>priority action</w:t>
      </w:r>
      <w:r w:rsidR="5B6F089A" w:rsidRPr="0AD8DA66">
        <w:rPr>
          <w:rFonts w:cs="Arial"/>
          <w:color w:val="000000" w:themeColor="text1"/>
          <w:sz w:val="22"/>
          <w:szCs w:val="22"/>
        </w:rPr>
        <w:t>s</w:t>
      </w:r>
      <w:r w:rsidRPr="0AD8DA66">
        <w:rPr>
          <w:rFonts w:cs="Arial"/>
          <w:color w:val="000000" w:themeColor="text1"/>
          <w:sz w:val="22"/>
          <w:szCs w:val="22"/>
        </w:rPr>
        <w:t xml:space="preserve"> over the </w:t>
      </w:r>
      <w:r w:rsidR="4122A3F6" w:rsidRPr="0AD8DA66">
        <w:rPr>
          <w:rFonts w:cs="Arial"/>
          <w:color w:val="000000" w:themeColor="text1"/>
          <w:sz w:val="22"/>
          <w:szCs w:val="22"/>
        </w:rPr>
        <w:t xml:space="preserve">next </w:t>
      </w:r>
      <w:r w:rsidR="00385992">
        <w:rPr>
          <w:rFonts w:cs="Arial"/>
          <w:color w:val="000000" w:themeColor="text1"/>
          <w:sz w:val="22"/>
          <w:szCs w:val="22"/>
        </w:rPr>
        <w:t>6</w:t>
      </w:r>
      <w:r w:rsidR="4122A3F6" w:rsidRPr="0AD8DA66">
        <w:rPr>
          <w:rFonts w:cs="Arial"/>
          <w:color w:val="000000" w:themeColor="text1"/>
          <w:sz w:val="22"/>
          <w:szCs w:val="22"/>
        </w:rPr>
        <w:t xml:space="preserve"> years</w:t>
      </w:r>
      <w:r w:rsidRPr="0AD8DA66">
        <w:rPr>
          <w:rFonts w:cs="Arial"/>
          <w:color w:val="000000" w:themeColor="text1"/>
          <w:sz w:val="22"/>
          <w:szCs w:val="22"/>
        </w:rPr>
        <w:t xml:space="preserve"> to</w:t>
      </w:r>
      <w:r w:rsidR="68BD7BFD" w:rsidRPr="0AD8DA66">
        <w:rPr>
          <w:color w:val="000000" w:themeColor="text1"/>
          <w:sz w:val="22"/>
          <w:szCs w:val="22"/>
        </w:rPr>
        <w:t xml:space="preserve"> </w:t>
      </w:r>
      <w:r w:rsidR="71E78C17" w:rsidRPr="0AD8DA66">
        <w:rPr>
          <w:color w:val="000000" w:themeColor="text1"/>
          <w:sz w:val="22"/>
          <w:szCs w:val="22"/>
        </w:rPr>
        <w:t xml:space="preserve">achieve the vision of </w:t>
      </w:r>
      <w:r w:rsidR="68BD7BFD" w:rsidRPr="0AD8DA66">
        <w:rPr>
          <w:rFonts w:cs="Arial"/>
          <w:color w:val="000000" w:themeColor="text1"/>
          <w:sz w:val="22"/>
          <w:szCs w:val="22"/>
        </w:rPr>
        <w:t>optimis</w:t>
      </w:r>
      <w:r w:rsidR="71E78C17" w:rsidRPr="0AD8DA66">
        <w:rPr>
          <w:rFonts w:cs="Arial"/>
          <w:color w:val="000000" w:themeColor="text1"/>
          <w:sz w:val="22"/>
          <w:szCs w:val="22"/>
        </w:rPr>
        <w:t>ing</w:t>
      </w:r>
      <w:r w:rsidR="68BD7BFD" w:rsidRPr="0AD8DA66">
        <w:rPr>
          <w:rFonts w:cs="Arial"/>
          <w:color w:val="000000" w:themeColor="text1"/>
          <w:sz w:val="22"/>
          <w:szCs w:val="22"/>
        </w:rPr>
        <w:t xml:space="preserve"> </w:t>
      </w:r>
      <w:r w:rsidR="01E3F389" w:rsidRPr="0AD8DA66">
        <w:rPr>
          <w:rFonts w:cs="Arial"/>
          <w:color w:val="000000" w:themeColor="text1"/>
          <w:sz w:val="22"/>
          <w:szCs w:val="22"/>
        </w:rPr>
        <w:t>sexual health</w:t>
      </w:r>
      <w:r w:rsidR="6F8665D6" w:rsidRPr="0AD8DA66">
        <w:rPr>
          <w:rFonts w:cs="Arial"/>
          <w:color w:val="000000" w:themeColor="text1"/>
          <w:sz w:val="22"/>
          <w:szCs w:val="22"/>
        </w:rPr>
        <w:t xml:space="preserve"> </w:t>
      </w:r>
      <w:r w:rsidR="01E3F389" w:rsidRPr="0AD8DA66">
        <w:rPr>
          <w:rFonts w:cs="Arial"/>
          <w:color w:val="000000" w:themeColor="text1"/>
          <w:sz w:val="22"/>
          <w:szCs w:val="22"/>
        </w:rPr>
        <w:t>care</w:t>
      </w:r>
      <w:r w:rsidR="68BD7BFD" w:rsidRPr="0AD8DA66">
        <w:rPr>
          <w:rFonts w:cs="Arial"/>
          <w:color w:val="000000" w:themeColor="text1"/>
          <w:sz w:val="22"/>
          <w:szCs w:val="22"/>
        </w:rPr>
        <w:t xml:space="preserve"> </w:t>
      </w:r>
      <w:r w:rsidR="01E3F389" w:rsidRPr="0AD8DA66">
        <w:rPr>
          <w:rFonts w:cs="Arial"/>
          <w:color w:val="000000" w:themeColor="text1"/>
          <w:sz w:val="22"/>
          <w:szCs w:val="22"/>
        </w:rPr>
        <w:t>for all</w:t>
      </w:r>
      <w:r w:rsidR="68BD7BFD" w:rsidRPr="0AD8DA66">
        <w:rPr>
          <w:rFonts w:cs="Arial"/>
          <w:color w:val="000000" w:themeColor="text1"/>
          <w:sz w:val="22"/>
          <w:szCs w:val="22"/>
        </w:rPr>
        <w:t>.</w:t>
      </w:r>
      <w:r w:rsidR="69E659E0" w:rsidRPr="0AD8DA66">
        <w:rPr>
          <w:rFonts w:cs="Arial"/>
          <w:color w:val="000000" w:themeColor="text1"/>
          <w:sz w:val="22"/>
          <w:szCs w:val="22"/>
        </w:rPr>
        <w:t xml:space="preserve"> </w:t>
      </w:r>
      <w:r w:rsidR="209C1323" w:rsidRPr="0AD8DA66">
        <w:rPr>
          <w:rFonts w:cs="Arial"/>
          <w:color w:val="000000" w:themeColor="text1"/>
          <w:sz w:val="22"/>
          <w:szCs w:val="22"/>
        </w:rPr>
        <w:t>Some</w:t>
      </w:r>
      <w:r w:rsidRPr="0AD8DA66">
        <w:rPr>
          <w:rFonts w:cs="Arial"/>
          <w:color w:val="000000" w:themeColor="text1"/>
          <w:sz w:val="22"/>
          <w:szCs w:val="22"/>
        </w:rPr>
        <w:t xml:space="preserve"> </w:t>
      </w:r>
      <w:r w:rsidR="380DDFFD" w:rsidRPr="0AD8DA66">
        <w:rPr>
          <w:rFonts w:cs="Arial"/>
          <w:color w:val="000000" w:themeColor="text1"/>
          <w:sz w:val="22"/>
          <w:szCs w:val="22"/>
        </w:rPr>
        <w:t>actions</w:t>
      </w:r>
      <w:r w:rsidR="3784F23A" w:rsidRPr="0AD8DA66">
        <w:rPr>
          <w:rFonts w:cs="Arial"/>
          <w:color w:val="000000" w:themeColor="text1"/>
          <w:sz w:val="22"/>
          <w:szCs w:val="22"/>
        </w:rPr>
        <w:t xml:space="preserve"> </w:t>
      </w:r>
      <w:r w:rsidRPr="0AD8DA66">
        <w:rPr>
          <w:rFonts w:cs="Arial"/>
          <w:color w:val="000000" w:themeColor="text1"/>
          <w:sz w:val="22"/>
          <w:szCs w:val="22"/>
        </w:rPr>
        <w:t>to protect</w:t>
      </w:r>
      <w:r w:rsidR="03581B46" w:rsidRPr="0AD8DA66">
        <w:rPr>
          <w:rFonts w:cs="Arial"/>
          <w:color w:val="000000" w:themeColor="text1"/>
          <w:sz w:val="22"/>
          <w:szCs w:val="22"/>
        </w:rPr>
        <w:t xml:space="preserve"> Australia’s</w:t>
      </w:r>
      <w:r w:rsidRPr="0AD8DA66">
        <w:rPr>
          <w:rFonts w:cs="Arial"/>
          <w:color w:val="000000" w:themeColor="text1"/>
          <w:sz w:val="22"/>
          <w:szCs w:val="22"/>
        </w:rPr>
        <w:t xml:space="preserve"> health and wellbeing from the impacts of </w:t>
      </w:r>
      <w:r w:rsidR="32B99967" w:rsidRPr="0AD8DA66">
        <w:rPr>
          <w:rFonts w:cs="Arial"/>
          <w:color w:val="000000" w:themeColor="text1"/>
          <w:sz w:val="22"/>
          <w:szCs w:val="22"/>
        </w:rPr>
        <w:t>STI</w:t>
      </w:r>
      <w:r w:rsidRPr="0AD8DA66">
        <w:rPr>
          <w:rFonts w:cs="Arial"/>
          <w:color w:val="000000" w:themeColor="text1"/>
          <w:sz w:val="22"/>
          <w:szCs w:val="22"/>
        </w:rPr>
        <w:t xml:space="preserve"> </w:t>
      </w:r>
      <w:r w:rsidR="3595C0CF" w:rsidRPr="0AD8DA66">
        <w:rPr>
          <w:rFonts w:cs="Arial"/>
          <w:color w:val="000000" w:themeColor="text1"/>
          <w:sz w:val="22"/>
          <w:szCs w:val="22"/>
        </w:rPr>
        <w:t>are</w:t>
      </w:r>
      <w:r w:rsidRPr="0AD8DA66">
        <w:rPr>
          <w:rFonts w:cs="Arial"/>
          <w:color w:val="000000" w:themeColor="text1"/>
          <w:sz w:val="22"/>
          <w:szCs w:val="22"/>
        </w:rPr>
        <w:t xml:space="preserve"> already underway</w:t>
      </w:r>
      <w:r w:rsidR="209C1323" w:rsidRPr="0AD8DA66">
        <w:rPr>
          <w:rFonts w:cs="Arial"/>
          <w:color w:val="000000" w:themeColor="text1"/>
          <w:sz w:val="22"/>
          <w:szCs w:val="22"/>
        </w:rPr>
        <w:t>, h</w:t>
      </w:r>
      <w:r w:rsidRPr="0AD8DA66">
        <w:rPr>
          <w:rFonts w:cs="Arial"/>
          <w:color w:val="000000" w:themeColor="text1"/>
          <w:sz w:val="22"/>
          <w:szCs w:val="22"/>
        </w:rPr>
        <w:t>owever</w:t>
      </w:r>
      <w:r w:rsidR="549F596C" w:rsidRPr="0AD8DA66">
        <w:rPr>
          <w:rFonts w:cs="Arial"/>
          <w:color w:val="000000" w:themeColor="text1"/>
          <w:sz w:val="22"/>
          <w:szCs w:val="22"/>
        </w:rPr>
        <w:t>,</w:t>
      </w:r>
      <w:r w:rsidR="209C1323" w:rsidRPr="0AD8DA66">
        <w:rPr>
          <w:rFonts w:cs="Arial"/>
          <w:color w:val="000000" w:themeColor="text1"/>
          <w:sz w:val="22"/>
          <w:szCs w:val="22"/>
        </w:rPr>
        <w:t xml:space="preserve"> </w:t>
      </w:r>
      <w:r w:rsidR="2F461449" w:rsidRPr="0AD8DA66">
        <w:rPr>
          <w:rFonts w:cs="Arial"/>
          <w:color w:val="000000" w:themeColor="text1"/>
          <w:sz w:val="22"/>
          <w:szCs w:val="22"/>
        </w:rPr>
        <w:t>other actions</w:t>
      </w:r>
      <w:r w:rsidRPr="0AD8DA66">
        <w:rPr>
          <w:rFonts w:cs="Arial"/>
          <w:color w:val="000000" w:themeColor="text1"/>
          <w:sz w:val="22"/>
          <w:szCs w:val="22"/>
        </w:rPr>
        <w:t xml:space="preserve"> will require further</w:t>
      </w:r>
      <w:r w:rsidR="792BA3CA" w:rsidRPr="0AD8DA66">
        <w:rPr>
          <w:rFonts w:cs="Arial"/>
          <w:color w:val="000000" w:themeColor="text1"/>
          <w:sz w:val="22"/>
          <w:szCs w:val="22"/>
        </w:rPr>
        <w:t xml:space="preserve"> cross-sectoral</w:t>
      </w:r>
      <w:r w:rsidRPr="0AD8DA66">
        <w:rPr>
          <w:rFonts w:cs="Arial"/>
          <w:color w:val="000000" w:themeColor="text1"/>
          <w:sz w:val="22"/>
          <w:szCs w:val="22"/>
        </w:rPr>
        <w:t xml:space="preserve"> consideration</w:t>
      </w:r>
      <w:r w:rsidR="5DC4D476" w:rsidRPr="0AD8DA66">
        <w:rPr>
          <w:rFonts w:cs="Arial"/>
          <w:color w:val="000000" w:themeColor="text1"/>
          <w:sz w:val="22"/>
          <w:szCs w:val="22"/>
        </w:rPr>
        <w:t>,</w:t>
      </w:r>
      <w:r w:rsidR="792BA3CA" w:rsidRPr="0AD8DA66">
        <w:rPr>
          <w:rFonts w:cs="Arial"/>
          <w:color w:val="000000" w:themeColor="text1"/>
          <w:sz w:val="22"/>
          <w:szCs w:val="22"/>
        </w:rPr>
        <w:t xml:space="preserve"> </w:t>
      </w:r>
      <w:r w:rsidR="5DC4D476" w:rsidRPr="0AD8DA66">
        <w:rPr>
          <w:rFonts w:cs="Arial"/>
          <w:color w:val="000000" w:themeColor="text1"/>
          <w:sz w:val="22"/>
          <w:szCs w:val="22"/>
        </w:rPr>
        <w:t>exploration of</w:t>
      </w:r>
      <w:r w:rsidR="271C23F7" w:rsidRPr="0AD8DA66">
        <w:rPr>
          <w:rFonts w:cs="Arial"/>
          <w:color w:val="000000" w:themeColor="text1"/>
          <w:sz w:val="22"/>
          <w:szCs w:val="22"/>
        </w:rPr>
        <w:t xml:space="preserve"> implementation </w:t>
      </w:r>
      <w:r w:rsidR="2A4604F7" w:rsidRPr="0AD8DA66">
        <w:rPr>
          <w:rFonts w:cs="Arial"/>
          <w:color w:val="000000" w:themeColor="text1"/>
          <w:sz w:val="22"/>
          <w:szCs w:val="22"/>
        </w:rPr>
        <w:t xml:space="preserve">options and </w:t>
      </w:r>
      <w:r w:rsidR="0C47964B" w:rsidRPr="0AD8DA66">
        <w:rPr>
          <w:rFonts w:cs="Arial"/>
          <w:color w:val="000000" w:themeColor="text1"/>
          <w:sz w:val="22"/>
          <w:szCs w:val="22"/>
        </w:rPr>
        <w:t xml:space="preserve">assessment of </w:t>
      </w:r>
      <w:r w:rsidRPr="0AD8DA66">
        <w:rPr>
          <w:rFonts w:cs="Arial"/>
          <w:color w:val="000000" w:themeColor="text1"/>
          <w:sz w:val="22"/>
          <w:szCs w:val="22"/>
        </w:rPr>
        <w:t xml:space="preserve">where further funding is required. </w:t>
      </w:r>
    </w:p>
    <w:p w14:paraId="606D7102" w14:textId="77777777" w:rsidR="00EA0200" w:rsidRDefault="00EA0200" w:rsidP="00BA1F9E">
      <w:pPr>
        <w:jc w:val="both"/>
        <w:rPr>
          <w:rFonts w:cs="Arial"/>
          <w:color w:val="000000" w:themeColor="text1"/>
          <w:sz w:val="22"/>
          <w:szCs w:val="22"/>
          <w:highlight w:val="white"/>
        </w:rPr>
      </w:pPr>
    </w:p>
    <w:p w14:paraId="5D416807" w14:textId="77777777" w:rsidR="00355001" w:rsidRDefault="00355001">
      <w:pPr>
        <w:rPr>
          <w:rFonts w:cs="Arial"/>
          <w:color w:val="000000" w:themeColor="text1"/>
          <w:sz w:val="22"/>
          <w:szCs w:val="22"/>
        </w:rPr>
      </w:pPr>
      <w:r>
        <w:rPr>
          <w:rFonts w:cs="Arial"/>
          <w:color w:val="000000" w:themeColor="text1"/>
          <w:sz w:val="22"/>
          <w:szCs w:val="22"/>
        </w:rPr>
        <w:br w:type="page"/>
      </w:r>
    </w:p>
    <w:p w14:paraId="4D4C660A" w14:textId="77777777" w:rsidR="007C5513" w:rsidRPr="00442D9E" w:rsidRDefault="007C5513" w:rsidP="00A3268A">
      <w:pPr>
        <w:pStyle w:val="Heading1"/>
        <w:rPr>
          <w:highlight w:val="white"/>
        </w:rPr>
      </w:pPr>
      <w:bookmarkStart w:id="27" w:name="_Toc150160953"/>
      <w:bookmarkStart w:id="28" w:name="_Toc163737180"/>
      <w:r w:rsidRPr="00442D9E">
        <w:rPr>
          <w:highlight w:val="white"/>
        </w:rPr>
        <w:lastRenderedPageBreak/>
        <w:t>Key achievements</w:t>
      </w:r>
      <w:bookmarkEnd w:id="27"/>
      <w:bookmarkEnd w:id="28"/>
    </w:p>
    <w:p w14:paraId="46113962" w14:textId="37D2907A" w:rsidR="007C5513" w:rsidRPr="00442D9E" w:rsidRDefault="007C5513" w:rsidP="007C5513">
      <w:pPr>
        <w:pStyle w:val="BodyText"/>
        <w:spacing w:after="0"/>
        <w:jc w:val="both"/>
        <w:rPr>
          <w:rFonts w:cs="Arial"/>
          <w:color w:val="000000" w:themeColor="text1"/>
          <w:sz w:val="22"/>
          <w:szCs w:val="22"/>
        </w:rPr>
      </w:pPr>
      <w:r w:rsidRPr="00442D9E">
        <w:rPr>
          <w:rFonts w:cs="Arial"/>
          <w:color w:val="000000" w:themeColor="text1"/>
          <w:sz w:val="22"/>
          <w:szCs w:val="22"/>
        </w:rPr>
        <w:t>Australia has made some progress towards meeting STI goals under the Fourth National STI Strategy. Health promotion to increase STI testing has been highly successful in some priority populations, particularly gay</w:t>
      </w:r>
      <w:r w:rsidR="00E96119">
        <w:rPr>
          <w:rFonts w:cs="Arial"/>
          <w:color w:val="000000" w:themeColor="text1"/>
          <w:sz w:val="22"/>
          <w:szCs w:val="22"/>
        </w:rPr>
        <w:t>,</w:t>
      </w:r>
      <w:r w:rsidRPr="00442D9E">
        <w:rPr>
          <w:rFonts w:cs="Arial"/>
          <w:color w:val="000000" w:themeColor="text1"/>
          <w:sz w:val="22"/>
          <w:szCs w:val="22"/>
        </w:rPr>
        <w:t xml:space="preserve"> bisexual and other men who have sex with men, and sex workers.</w:t>
      </w:r>
    </w:p>
    <w:p w14:paraId="1DD34064" w14:textId="77777777" w:rsidR="007C5513" w:rsidRPr="00442D9E" w:rsidRDefault="007C5513" w:rsidP="007C5513">
      <w:pPr>
        <w:jc w:val="both"/>
        <w:rPr>
          <w:rStyle w:val="Strong"/>
          <w:rFonts w:cs="Arial"/>
          <w:color w:val="000000" w:themeColor="text1"/>
          <w:szCs w:val="22"/>
        </w:rPr>
      </w:pPr>
    </w:p>
    <w:p w14:paraId="4C5A035C" w14:textId="7BF66237" w:rsidR="007C5513" w:rsidRPr="003B2996" w:rsidRDefault="007C5513" w:rsidP="008B43F1">
      <w:pPr>
        <w:pStyle w:val="Heading2"/>
        <w:numPr>
          <w:ilvl w:val="1"/>
          <w:numId w:val="21"/>
        </w:numPr>
      </w:pPr>
      <w:bookmarkStart w:id="29" w:name="_Toc127874434"/>
      <w:bookmarkStart w:id="30" w:name="_Toc138151584"/>
      <w:bookmarkStart w:id="31" w:name="_Toc138173793"/>
      <w:bookmarkStart w:id="32" w:name="_Toc146813393"/>
      <w:bookmarkStart w:id="33" w:name="_Toc150160954"/>
      <w:bookmarkStart w:id="34" w:name="_Toc163737181"/>
      <w:r w:rsidRPr="003B2996">
        <w:rPr>
          <w:rFonts w:ascii="Arial" w:hAnsi="Arial" w:cs="Arial"/>
        </w:rPr>
        <w:t>Key achievements under the Fourth National STI Strategy 2018–2022</w:t>
      </w:r>
      <w:bookmarkEnd w:id="29"/>
      <w:bookmarkEnd w:id="30"/>
      <w:bookmarkEnd w:id="31"/>
      <w:bookmarkEnd w:id="32"/>
      <w:bookmarkEnd w:id="33"/>
      <w:bookmarkEnd w:id="34"/>
    </w:p>
    <w:p w14:paraId="343FC1C1" w14:textId="77777777" w:rsidR="007C5513" w:rsidRPr="00442D9E" w:rsidRDefault="007C5513" w:rsidP="007C5513">
      <w:pPr>
        <w:jc w:val="both"/>
        <w:rPr>
          <w:rFonts w:cs="Arial"/>
          <w:color w:val="000000" w:themeColor="text1"/>
          <w:sz w:val="22"/>
          <w:szCs w:val="22"/>
        </w:rPr>
      </w:pPr>
    </w:p>
    <w:p w14:paraId="0CF8E115" w14:textId="77777777" w:rsidR="007C5513" w:rsidRPr="00442D9E" w:rsidRDefault="007C5513" w:rsidP="008B43F1">
      <w:pPr>
        <w:pStyle w:val="ListParagraph"/>
        <w:numPr>
          <w:ilvl w:val="0"/>
          <w:numId w:val="22"/>
        </w:numPr>
        <w:jc w:val="both"/>
        <w:rPr>
          <w:rFonts w:cs="Arial"/>
          <w:b/>
          <w:bCs/>
          <w:color w:val="000000" w:themeColor="text1"/>
          <w:sz w:val="22"/>
          <w:szCs w:val="22"/>
        </w:rPr>
      </w:pPr>
      <w:r w:rsidRPr="00442D9E">
        <w:rPr>
          <w:rFonts w:cs="Arial"/>
          <w:b/>
          <w:bCs/>
          <w:color w:val="000000" w:themeColor="text1"/>
          <w:sz w:val="22"/>
          <w:szCs w:val="22"/>
        </w:rPr>
        <w:t>Digital innovation in sexual healthcare</w:t>
      </w:r>
    </w:p>
    <w:p w14:paraId="42DF9F8C" w14:textId="53FE4159" w:rsidR="007C5513" w:rsidRPr="00442D9E" w:rsidRDefault="007C5513" w:rsidP="007C5513">
      <w:pPr>
        <w:pStyle w:val="ListParagraph"/>
        <w:jc w:val="both"/>
        <w:rPr>
          <w:rFonts w:cs="Arial"/>
          <w:color w:val="000000" w:themeColor="text1"/>
          <w:sz w:val="22"/>
          <w:szCs w:val="22"/>
        </w:rPr>
      </w:pPr>
      <w:r w:rsidRPr="00442D9E">
        <w:rPr>
          <w:rFonts w:cs="Arial"/>
          <w:color w:val="000000" w:themeColor="text1"/>
          <w:sz w:val="22"/>
          <w:szCs w:val="22"/>
        </w:rPr>
        <w:t>Advances in technology have promoted timely access to testing, treatment, care</w:t>
      </w:r>
      <w:r w:rsidR="000E380A">
        <w:rPr>
          <w:rFonts w:cs="Arial"/>
          <w:color w:val="000000" w:themeColor="text1"/>
          <w:sz w:val="22"/>
          <w:szCs w:val="22"/>
        </w:rPr>
        <w:t>,</w:t>
      </w:r>
      <w:r w:rsidRPr="00442D9E">
        <w:rPr>
          <w:rFonts w:cs="Arial"/>
          <w:color w:val="000000" w:themeColor="text1"/>
          <w:sz w:val="22"/>
          <w:szCs w:val="22"/>
        </w:rPr>
        <w:t xml:space="preserve"> and support for people, including people with multiple and complex barriers to accessing other services. Reforms allowed telehealth to occur for sexual health-related consults (without restrictions of having seen the GP within the past 12 months at that practice), expanding access to virtual STI testing.</w:t>
      </w:r>
      <w:bookmarkStart w:id="35" w:name="_Hlk98496278"/>
    </w:p>
    <w:p w14:paraId="17F88B30" w14:textId="77777777" w:rsidR="007C5513" w:rsidRPr="00442D9E" w:rsidRDefault="007C5513" w:rsidP="007C5513">
      <w:pPr>
        <w:pStyle w:val="ListParagraph"/>
        <w:jc w:val="both"/>
        <w:rPr>
          <w:rFonts w:cs="Arial"/>
          <w:color w:val="000000" w:themeColor="text1"/>
          <w:sz w:val="22"/>
          <w:szCs w:val="22"/>
        </w:rPr>
      </w:pPr>
    </w:p>
    <w:p w14:paraId="3500754C" w14:textId="77777777" w:rsidR="007C5513" w:rsidRPr="00442D9E" w:rsidRDefault="007C5513" w:rsidP="008B43F1">
      <w:pPr>
        <w:pStyle w:val="ListParagraph"/>
        <w:numPr>
          <w:ilvl w:val="0"/>
          <w:numId w:val="22"/>
        </w:numPr>
        <w:jc w:val="both"/>
        <w:rPr>
          <w:rFonts w:cs="Arial"/>
          <w:b/>
          <w:bCs/>
          <w:color w:val="000000" w:themeColor="text1"/>
          <w:sz w:val="22"/>
          <w:szCs w:val="22"/>
        </w:rPr>
      </w:pPr>
      <w:r w:rsidRPr="00442D9E">
        <w:rPr>
          <w:rFonts w:cs="Arial"/>
          <w:b/>
          <w:bCs/>
          <w:color w:val="000000" w:themeColor="text1"/>
          <w:sz w:val="22"/>
          <w:szCs w:val="22"/>
        </w:rPr>
        <w:t>Dismantling structural barriers to sexual health</w:t>
      </w:r>
    </w:p>
    <w:bookmarkEnd w:id="35"/>
    <w:p w14:paraId="6DA0BBAC" w14:textId="77777777" w:rsidR="007C5513" w:rsidRPr="00442D9E" w:rsidRDefault="007C5513" w:rsidP="007C5513">
      <w:pPr>
        <w:pStyle w:val="ListParagraph"/>
        <w:jc w:val="both"/>
        <w:rPr>
          <w:rFonts w:cs="Arial"/>
          <w:color w:val="000000" w:themeColor="text1"/>
          <w:sz w:val="22"/>
          <w:szCs w:val="22"/>
        </w:rPr>
      </w:pPr>
      <w:r w:rsidRPr="00442D9E">
        <w:rPr>
          <w:rFonts w:cs="Arial"/>
          <w:color w:val="000000" w:themeColor="text1"/>
          <w:sz w:val="22"/>
          <w:szCs w:val="22"/>
        </w:rPr>
        <w:t>Sex workers have made some great strides in addressing stigma and creating an enabling environment. Policy changes have included the decriminalisation of sex work in Victoria and the Northern Territory, the repeal of mandatory testing laws for sex workers in Victoria, and the introduction of anti-discrimination protections for sex workers in the Northern Territory.</w:t>
      </w:r>
    </w:p>
    <w:p w14:paraId="4A4CB83C" w14:textId="77777777" w:rsidR="007C5513" w:rsidRPr="00442D9E" w:rsidRDefault="007C5513" w:rsidP="007C5513">
      <w:pPr>
        <w:pStyle w:val="ListParagraph"/>
        <w:jc w:val="both"/>
        <w:rPr>
          <w:rFonts w:cs="Arial"/>
          <w:color w:val="000000" w:themeColor="text1"/>
          <w:sz w:val="22"/>
          <w:szCs w:val="22"/>
        </w:rPr>
      </w:pPr>
    </w:p>
    <w:p w14:paraId="7C44AE49" w14:textId="0704B4AC" w:rsidR="007C5513" w:rsidRPr="00442D9E" w:rsidRDefault="007C5513" w:rsidP="008B43F1">
      <w:pPr>
        <w:pStyle w:val="ListParagraph"/>
        <w:numPr>
          <w:ilvl w:val="0"/>
          <w:numId w:val="22"/>
        </w:numPr>
        <w:jc w:val="both"/>
        <w:rPr>
          <w:rFonts w:cs="Arial"/>
          <w:color w:val="000000" w:themeColor="text1"/>
          <w:sz w:val="22"/>
          <w:szCs w:val="22"/>
        </w:rPr>
      </w:pPr>
      <w:r w:rsidRPr="00442D9E">
        <w:rPr>
          <w:rFonts w:cs="Arial"/>
          <w:b/>
          <w:bCs/>
          <w:color w:val="000000" w:themeColor="text1"/>
          <w:sz w:val="22"/>
          <w:szCs w:val="22"/>
        </w:rPr>
        <w:t xml:space="preserve">STI screening </w:t>
      </w:r>
      <w:r w:rsidR="0054242B" w:rsidRPr="00442D9E">
        <w:rPr>
          <w:rFonts w:cs="Arial"/>
          <w:b/>
          <w:bCs/>
          <w:color w:val="000000" w:themeColor="text1"/>
          <w:sz w:val="22"/>
          <w:szCs w:val="22"/>
        </w:rPr>
        <w:t>was</w:t>
      </w:r>
      <w:r w:rsidRPr="00442D9E">
        <w:rPr>
          <w:rFonts w:cs="Arial"/>
          <w:b/>
          <w:bCs/>
          <w:color w:val="000000" w:themeColor="text1"/>
          <w:sz w:val="22"/>
          <w:szCs w:val="22"/>
        </w:rPr>
        <w:t xml:space="preserve"> </w:t>
      </w:r>
      <w:r w:rsidR="0063423E" w:rsidRPr="00442D9E">
        <w:rPr>
          <w:rFonts w:cs="Arial"/>
          <w:b/>
          <w:bCs/>
          <w:color w:val="000000" w:themeColor="text1"/>
          <w:sz w:val="22"/>
          <w:szCs w:val="22"/>
        </w:rPr>
        <w:t xml:space="preserve">at </w:t>
      </w:r>
      <w:r w:rsidR="00BE140A" w:rsidRPr="00442D9E">
        <w:rPr>
          <w:rFonts w:cs="Arial"/>
          <w:b/>
          <w:bCs/>
          <w:color w:val="000000" w:themeColor="text1"/>
          <w:sz w:val="22"/>
          <w:szCs w:val="22"/>
        </w:rPr>
        <w:t xml:space="preserve">a </w:t>
      </w:r>
      <w:r w:rsidRPr="00442D9E">
        <w:rPr>
          <w:rFonts w:cs="Arial"/>
          <w:b/>
          <w:bCs/>
          <w:color w:val="000000" w:themeColor="text1"/>
          <w:sz w:val="22"/>
          <w:szCs w:val="22"/>
        </w:rPr>
        <w:t>record high</w:t>
      </w:r>
    </w:p>
    <w:p w14:paraId="0DB46FB2" w14:textId="1BAAC72D" w:rsidR="00F15623" w:rsidRPr="00F15623" w:rsidRDefault="00F15623" w:rsidP="00ED0E53">
      <w:pPr>
        <w:pStyle w:val="ListParagraph"/>
        <w:rPr>
          <w:rFonts w:cs="Arial"/>
          <w:sz w:val="22"/>
          <w:szCs w:val="22"/>
        </w:rPr>
      </w:pPr>
      <w:r w:rsidRPr="00F15623">
        <w:rPr>
          <w:rFonts w:cs="Arial"/>
          <w:sz w:val="22"/>
          <w:szCs w:val="22"/>
        </w:rPr>
        <w:t>Rates of STI screening hit a record high in 2019. Disruptions from the COVID-19 pandemic saw some declines in both STI testing and notification rates in 2020 and 2021. The declines in Medicare-rebated STI testing, however, were no greater than the overall decline in face-to-face Medicare-rebated GP services during this period, which declined by 21% between 2019 and 2021.</w:t>
      </w:r>
      <w:r w:rsidR="008B43F1">
        <w:rPr>
          <w:rFonts w:ascii="ZWAdobeF" w:hAnsi="ZWAdobeF" w:cs="ZWAdobeF"/>
          <w:sz w:val="2"/>
          <w:szCs w:val="2"/>
        </w:rPr>
        <w:t>41F</w:t>
      </w:r>
      <w:r w:rsidRPr="00442D9E">
        <w:rPr>
          <w:rStyle w:val="EndnoteReference"/>
          <w:rFonts w:cs="Arial"/>
          <w:color w:val="000000" w:themeColor="text1"/>
          <w:sz w:val="22"/>
          <w:szCs w:val="22"/>
        </w:rPr>
        <w:endnoteReference w:id="41"/>
      </w:r>
      <w:r w:rsidRPr="00F15623">
        <w:rPr>
          <w:rFonts w:cs="Arial"/>
          <w:sz w:val="22"/>
          <w:szCs w:val="22"/>
        </w:rPr>
        <w:t xml:space="preserve"> The number of Medicare-rebated chlamydia tests in Australia increased by 31% between 2012 and 2019.</w:t>
      </w:r>
      <w:r w:rsidR="008B43F1">
        <w:rPr>
          <w:rFonts w:ascii="ZWAdobeF" w:hAnsi="ZWAdobeF" w:cs="ZWAdobeF"/>
          <w:sz w:val="2"/>
          <w:szCs w:val="2"/>
        </w:rPr>
        <w:t>42F</w:t>
      </w:r>
      <w:r w:rsidRPr="00442D9E">
        <w:rPr>
          <w:rStyle w:val="EndnoteReference"/>
          <w:rFonts w:cs="Arial"/>
          <w:color w:val="000000" w:themeColor="text1"/>
          <w:sz w:val="22"/>
          <w:szCs w:val="22"/>
        </w:rPr>
        <w:endnoteReference w:id="42"/>
      </w:r>
      <w:r w:rsidRPr="00F15623">
        <w:rPr>
          <w:rFonts w:cs="Arial"/>
          <w:color w:val="000000" w:themeColor="text1"/>
          <w:sz w:val="22"/>
          <w:szCs w:val="22"/>
        </w:rPr>
        <w:t xml:space="preserve"> The proportion of people aged 15 to 29 years who attended general practice and had a Medicare-rebated chlamydia test was 17% in 2021, the highest proportion tested since before 2012. In the same year, the number of chlamydia notifications per 100 Medicare</w:t>
      </w:r>
      <w:r w:rsidRPr="00F15623">
        <w:rPr>
          <w:rFonts w:ascii="Cambria Math" w:hAnsi="Cambria Math" w:cs="Cambria Math"/>
          <w:color w:val="000000" w:themeColor="text1"/>
          <w:sz w:val="22"/>
          <w:szCs w:val="22"/>
        </w:rPr>
        <w:t>‑</w:t>
      </w:r>
      <w:r w:rsidRPr="00F15623">
        <w:rPr>
          <w:rFonts w:cs="Arial"/>
          <w:color w:val="000000" w:themeColor="text1"/>
          <w:sz w:val="22"/>
          <w:szCs w:val="22"/>
        </w:rPr>
        <w:t>rebated chlamydia tests was 6.1, the lowest since before 2012.</w:t>
      </w:r>
    </w:p>
    <w:p w14:paraId="161758D3" w14:textId="77777777" w:rsidR="007C5513" w:rsidRPr="00442D9E" w:rsidRDefault="007C5513" w:rsidP="007C5513">
      <w:pPr>
        <w:ind w:left="720"/>
        <w:rPr>
          <w:rFonts w:cs="Arial"/>
          <w:sz w:val="22"/>
          <w:szCs w:val="22"/>
        </w:rPr>
      </w:pPr>
    </w:p>
    <w:p w14:paraId="18B75E36" w14:textId="77777777" w:rsidR="007C5513" w:rsidRPr="00442D9E" w:rsidRDefault="007C5513" w:rsidP="008B43F1">
      <w:pPr>
        <w:pStyle w:val="ListParagraph"/>
        <w:numPr>
          <w:ilvl w:val="0"/>
          <w:numId w:val="22"/>
        </w:numPr>
        <w:rPr>
          <w:rFonts w:cs="Arial"/>
          <w:sz w:val="22"/>
          <w:szCs w:val="22"/>
        </w:rPr>
      </w:pPr>
      <w:r w:rsidRPr="00442D9E">
        <w:rPr>
          <w:rFonts w:cs="Arial"/>
          <w:b/>
          <w:bCs/>
          <w:color w:val="000000" w:themeColor="text1"/>
          <w:sz w:val="22"/>
          <w:szCs w:val="22"/>
        </w:rPr>
        <w:t>Significant decrease in genital warts in young people</w:t>
      </w:r>
    </w:p>
    <w:p w14:paraId="3A44CADA" w14:textId="1F9E2841" w:rsidR="003F306E" w:rsidRPr="00442D9E" w:rsidRDefault="007C5513" w:rsidP="007C5513">
      <w:pPr>
        <w:ind w:left="720"/>
        <w:jc w:val="both"/>
        <w:rPr>
          <w:rFonts w:cs="Arial"/>
          <w:b/>
          <w:bCs/>
          <w:color w:val="000000" w:themeColor="text1"/>
          <w:sz w:val="22"/>
          <w:szCs w:val="22"/>
        </w:rPr>
      </w:pPr>
      <w:r w:rsidRPr="00442D9E">
        <w:rPr>
          <w:rFonts w:cs="Arial"/>
          <w:color w:val="000000" w:themeColor="text1"/>
          <w:sz w:val="22"/>
          <w:szCs w:val="22"/>
        </w:rPr>
        <w:t>High HPV vaccination coverage has been maintained for young people, leading to sustained reductions in HPV-related diseases</w:t>
      </w:r>
      <w:r w:rsidRPr="00442D9E">
        <w:rPr>
          <w:rFonts w:cs="Arial"/>
          <w:b/>
          <w:color w:val="000000" w:themeColor="text1"/>
          <w:sz w:val="22"/>
          <w:szCs w:val="22"/>
        </w:rPr>
        <w:t xml:space="preserve"> </w:t>
      </w:r>
      <w:r w:rsidRPr="00442D9E">
        <w:rPr>
          <w:rFonts w:cs="Arial"/>
          <w:color w:val="000000" w:themeColor="text1"/>
          <w:sz w:val="22"/>
          <w:szCs w:val="22"/>
        </w:rPr>
        <w:t>(genital warts and cervical cancer). Between 2006 and 2021, the proportion of non-Indigenous females aged under 21 years attending sexual health clinics for the first time who were diagnosed with genital warts fell from 13% to 0.7%.</w:t>
      </w:r>
    </w:p>
    <w:p w14:paraId="5756D718" w14:textId="77777777" w:rsidR="003F306E" w:rsidRPr="00442D9E" w:rsidRDefault="003F306E" w:rsidP="007C5513">
      <w:pPr>
        <w:ind w:left="720"/>
        <w:jc w:val="both"/>
        <w:rPr>
          <w:rFonts w:cs="Arial"/>
          <w:color w:val="000000" w:themeColor="text1"/>
          <w:sz w:val="22"/>
          <w:szCs w:val="22"/>
        </w:rPr>
      </w:pPr>
    </w:p>
    <w:p w14:paraId="7B8E5089" w14:textId="49A0FF5F" w:rsidR="00E42F4C" w:rsidRPr="00385992" w:rsidRDefault="00DB00E5" w:rsidP="00385992">
      <w:pPr>
        <w:pStyle w:val="1Dot-point"/>
        <w:rPr>
          <w:rFonts w:cs="Arial"/>
        </w:rPr>
      </w:pPr>
      <w:r w:rsidRPr="00442D9E">
        <w:rPr>
          <w:rFonts w:cs="Arial"/>
          <w:b/>
          <w:bCs/>
        </w:rPr>
        <w:t>STI testing has significantly increased in g</w:t>
      </w:r>
      <w:r w:rsidR="007C5513" w:rsidRPr="00442D9E">
        <w:rPr>
          <w:rFonts w:cs="Arial"/>
          <w:b/>
          <w:bCs/>
        </w:rPr>
        <w:t>ay</w:t>
      </w:r>
      <w:r w:rsidR="00385992">
        <w:rPr>
          <w:rFonts w:cs="Arial"/>
        </w:rPr>
        <w:t xml:space="preserve"> </w:t>
      </w:r>
      <w:r w:rsidR="007C5513" w:rsidRPr="00385992">
        <w:rPr>
          <w:rFonts w:cs="Arial"/>
          <w:b/>
          <w:bCs/>
        </w:rPr>
        <w:t xml:space="preserve">bisexual and other men who have sex with men </w:t>
      </w:r>
    </w:p>
    <w:p w14:paraId="69CC9187" w14:textId="01A7D09C" w:rsidR="007C5513" w:rsidRPr="00442D9E" w:rsidRDefault="007C5513" w:rsidP="00E42F4C">
      <w:pPr>
        <w:pStyle w:val="1Dot-point"/>
        <w:numPr>
          <w:ilvl w:val="0"/>
          <w:numId w:val="0"/>
        </w:numPr>
        <w:ind w:left="720"/>
        <w:rPr>
          <w:rFonts w:cs="Arial"/>
        </w:rPr>
      </w:pPr>
      <w:r w:rsidRPr="00442D9E">
        <w:rPr>
          <w:rFonts w:cs="Arial"/>
        </w:rPr>
        <w:t>Among gay, bisexual</w:t>
      </w:r>
      <w:r w:rsidR="00222FC0">
        <w:rPr>
          <w:rFonts w:cs="Arial"/>
        </w:rPr>
        <w:t>,</w:t>
      </w:r>
      <w:r w:rsidRPr="00442D9E">
        <w:rPr>
          <w:rFonts w:cs="Arial"/>
        </w:rPr>
        <w:t xml:space="preserve"> and other men who have sex with men, STI testing has significantly increased, and prevention programs for priority populations have been maintained.</w:t>
      </w:r>
      <w:r w:rsidR="008B43F1">
        <w:rPr>
          <w:rFonts w:ascii="ZWAdobeF" w:hAnsi="ZWAdobeF" w:cs="ZWAdobeF"/>
          <w:color w:val="auto"/>
          <w:sz w:val="2"/>
          <w:szCs w:val="2"/>
        </w:rPr>
        <w:t>43F</w:t>
      </w:r>
      <w:r w:rsidRPr="00442D9E">
        <w:rPr>
          <w:rStyle w:val="EndnoteReference"/>
          <w:rFonts w:cs="Arial"/>
          <w:color w:val="000000" w:themeColor="text1"/>
          <w:szCs w:val="22"/>
          <w:lang w:val="en-AU"/>
        </w:rPr>
        <w:endnoteReference w:id="43"/>
      </w:r>
      <w:r w:rsidRPr="00442D9E">
        <w:rPr>
          <w:rFonts w:cs="Arial"/>
        </w:rPr>
        <w:t xml:space="preserve"> Results from the Gay Community Periodic Surveys show that comprehensive STI testing among gay, bisexual</w:t>
      </w:r>
      <w:r w:rsidR="000D65D8">
        <w:rPr>
          <w:rFonts w:cs="Arial"/>
        </w:rPr>
        <w:t>,</w:t>
      </w:r>
      <w:r w:rsidRPr="00442D9E">
        <w:rPr>
          <w:rFonts w:cs="Arial"/>
        </w:rPr>
        <w:t xml:space="preserve"> and other men who have sex with men (at least four samples from separate body sites in the past 12 months) increased from 37% in 2012 to 47% in </w:t>
      </w:r>
      <w:r w:rsidR="00F15623" w:rsidRPr="00442D9E">
        <w:rPr>
          <w:rFonts w:cs="Arial"/>
        </w:rPr>
        <w:t>2021</w:t>
      </w:r>
      <w:r w:rsidRPr="00442D9E">
        <w:rPr>
          <w:rFonts w:cs="Arial"/>
        </w:rPr>
        <w:t>.</w:t>
      </w:r>
    </w:p>
    <w:p w14:paraId="67F7DC7B" w14:textId="77777777" w:rsidR="007C5513" w:rsidRPr="00442D9E" w:rsidRDefault="007C5513" w:rsidP="007C5513">
      <w:pPr>
        <w:ind w:left="720"/>
        <w:jc w:val="both"/>
        <w:rPr>
          <w:rFonts w:cs="Arial"/>
          <w:color w:val="000000" w:themeColor="text1"/>
          <w:sz w:val="22"/>
          <w:szCs w:val="22"/>
        </w:rPr>
      </w:pPr>
    </w:p>
    <w:p w14:paraId="2AD23EDD" w14:textId="77777777" w:rsidR="007C5513" w:rsidRPr="00442D9E" w:rsidRDefault="007C5513" w:rsidP="008B43F1">
      <w:pPr>
        <w:pStyle w:val="ListParagraph"/>
        <w:numPr>
          <w:ilvl w:val="0"/>
          <w:numId w:val="22"/>
        </w:numPr>
        <w:jc w:val="both"/>
        <w:rPr>
          <w:rFonts w:cs="Arial"/>
          <w:b/>
          <w:bCs/>
          <w:color w:val="000000" w:themeColor="text1"/>
          <w:sz w:val="22"/>
          <w:szCs w:val="22"/>
        </w:rPr>
      </w:pPr>
      <w:r w:rsidRPr="00442D9E">
        <w:rPr>
          <w:rFonts w:cs="Arial"/>
          <w:b/>
          <w:bCs/>
          <w:color w:val="000000" w:themeColor="text1"/>
          <w:sz w:val="22"/>
          <w:szCs w:val="22"/>
        </w:rPr>
        <w:t>Increased access to point of care testing</w:t>
      </w:r>
    </w:p>
    <w:p w14:paraId="5EC27881" w14:textId="6841E7F3" w:rsidR="007C5513" w:rsidRPr="00442D9E" w:rsidRDefault="007C5513" w:rsidP="007C5513">
      <w:pPr>
        <w:ind w:left="720"/>
        <w:jc w:val="both"/>
        <w:rPr>
          <w:rFonts w:cs="Arial"/>
          <w:b/>
          <w:bCs/>
          <w:color w:val="000000" w:themeColor="text1"/>
          <w:sz w:val="22"/>
          <w:szCs w:val="22"/>
        </w:rPr>
      </w:pPr>
      <w:r w:rsidRPr="00442D9E">
        <w:rPr>
          <w:rFonts w:cs="Arial"/>
          <w:color w:val="000000" w:themeColor="text1"/>
          <w:sz w:val="22"/>
          <w:szCs w:val="22"/>
        </w:rPr>
        <w:t xml:space="preserve">Highly accurate molecular point-of-care (POC) tests for STI (GeneXpert, Cepheid) </w:t>
      </w:r>
      <w:r w:rsidR="00A5229C">
        <w:rPr>
          <w:rFonts w:cs="Arial"/>
          <w:color w:val="000000" w:themeColor="text1"/>
          <w:sz w:val="22"/>
          <w:szCs w:val="22"/>
        </w:rPr>
        <w:t>are</w:t>
      </w:r>
      <w:r w:rsidRPr="00442D9E">
        <w:rPr>
          <w:rFonts w:cs="Arial"/>
          <w:color w:val="000000" w:themeColor="text1"/>
          <w:sz w:val="22"/>
          <w:szCs w:val="22"/>
        </w:rPr>
        <w:t xml:space="preserve"> now enabling the provision of same-day testing and more timely treatment by clinical staff through primary care services in a growing number of communities. Preliminary results from a 2023 evaluation suggest that POC testing for STI is scalable and cost-effective and provides sustained clinical benefit, including modelled reductions in </w:t>
      </w:r>
      <w:r w:rsidR="009C356D">
        <w:rPr>
          <w:rFonts w:cs="Arial"/>
          <w:color w:val="000000" w:themeColor="text1"/>
          <w:sz w:val="22"/>
          <w:szCs w:val="22"/>
        </w:rPr>
        <w:t>PID</w:t>
      </w:r>
      <w:r w:rsidRPr="00442D9E">
        <w:rPr>
          <w:rFonts w:cs="Arial"/>
          <w:color w:val="000000" w:themeColor="text1"/>
          <w:sz w:val="22"/>
          <w:szCs w:val="22"/>
        </w:rPr>
        <w:t xml:space="preserve"> and preterm births.</w:t>
      </w:r>
      <w:r w:rsidR="00DE17C7" w:rsidRPr="00442D9E">
        <w:rPr>
          <w:rFonts w:cs="Arial"/>
          <w:b/>
          <w:bCs/>
          <w:color w:val="000000" w:themeColor="text1"/>
          <w:sz w:val="22"/>
          <w:szCs w:val="22"/>
        </w:rPr>
        <w:t xml:space="preserve"> </w:t>
      </w:r>
    </w:p>
    <w:p w14:paraId="3EE62E33" w14:textId="3C56AE4B" w:rsidR="007C5513" w:rsidRPr="003B2996" w:rsidRDefault="007C5513" w:rsidP="008B43F1">
      <w:pPr>
        <w:pStyle w:val="Heading2"/>
        <w:numPr>
          <w:ilvl w:val="1"/>
          <w:numId w:val="21"/>
        </w:numPr>
      </w:pPr>
      <w:bookmarkStart w:id="36" w:name="_Toc150160955"/>
      <w:bookmarkStart w:id="37" w:name="_Toc150161603"/>
      <w:bookmarkStart w:id="38" w:name="_Toc150161894"/>
      <w:bookmarkStart w:id="39" w:name="_Toc127874435"/>
      <w:bookmarkStart w:id="40" w:name="_Toc138151585"/>
      <w:bookmarkStart w:id="41" w:name="_Toc138173794"/>
      <w:bookmarkStart w:id="42" w:name="_Toc146813394"/>
      <w:bookmarkStart w:id="43" w:name="_Toc150160956"/>
      <w:bookmarkStart w:id="44" w:name="_Toc163737182"/>
      <w:bookmarkEnd w:id="36"/>
      <w:bookmarkEnd w:id="37"/>
      <w:bookmarkEnd w:id="38"/>
      <w:r w:rsidRPr="003B2996">
        <w:rPr>
          <w:rFonts w:ascii="Arial" w:hAnsi="Arial" w:cs="Arial"/>
        </w:rPr>
        <w:lastRenderedPageBreak/>
        <w:t>Areas where further efforts are required</w:t>
      </w:r>
      <w:bookmarkStart w:id="45" w:name="_Toc138151562"/>
      <w:bookmarkStart w:id="46" w:name="_Toc138173775"/>
      <w:bookmarkEnd w:id="39"/>
      <w:bookmarkEnd w:id="40"/>
      <w:bookmarkEnd w:id="41"/>
      <w:bookmarkEnd w:id="42"/>
      <w:bookmarkEnd w:id="43"/>
      <w:bookmarkEnd w:id="44"/>
    </w:p>
    <w:p w14:paraId="20BD0E26" w14:textId="436C375C" w:rsidR="007C5513" w:rsidRPr="00442D9E" w:rsidRDefault="007C5513" w:rsidP="007C5513">
      <w:pPr>
        <w:pStyle w:val="BodyText"/>
        <w:spacing w:after="0"/>
        <w:jc w:val="both"/>
        <w:rPr>
          <w:rFonts w:cs="Arial"/>
          <w:color w:val="000000" w:themeColor="text1"/>
          <w:sz w:val="22"/>
          <w:szCs w:val="22"/>
        </w:rPr>
      </w:pPr>
      <w:r w:rsidRPr="00442D9E">
        <w:rPr>
          <w:rFonts w:cs="Arial"/>
          <w:color w:val="000000" w:themeColor="text1"/>
          <w:sz w:val="22"/>
          <w:szCs w:val="22"/>
        </w:rPr>
        <w:t xml:space="preserve">Despite these successes, the targets from the Fourth National STI Strategy 2018–2022 are not met based on 2020 data. </w:t>
      </w:r>
      <w:r w:rsidR="00F15623" w:rsidRPr="00442D9E">
        <w:rPr>
          <w:rFonts w:cs="Arial"/>
          <w:color w:val="000000" w:themeColor="text1"/>
          <w:sz w:val="22"/>
          <w:szCs w:val="22"/>
        </w:rPr>
        <w:t>As of the end of 2020</w:t>
      </w:r>
      <w:r w:rsidRPr="00442D9E">
        <w:rPr>
          <w:rFonts w:cs="Arial"/>
          <w:color w:val="000000" w:themeColor="text1"/>
          <w:sz w:val="22"/>
          <w:szCs w:val="22"/>
        </w:rPr>
        <w:t>, of the targets set, none were fully achieved, three were partially achieved, and two were not yet achieved.</w:t>
      </w:r>
    </w:p>
    <w:p w14:paraId="0FD49EA6" w14:textId="77777777" w:rsidR="007C5513" w:rsidRPr="00442D9E" w:rsidRDefault="007C5513" w:rsidP="007C5513">
      <w:pPr>
        <w:pStyle w:val="BodyText"/>
        <w:spacing w:after="0"/>
        <w:jc w:val="both"/>
        <w:rPr>
          <w:rFonts w:cs="Arial"/>
          <w:color w:val="000000" w:themeColor="text1"/>
          <w:sz w:val="22"/>
          <w:szCs w:val="22"/>
        </w:rPr>
      </w:pPr>
    </w:p>
    <w:p w14:paraId="6AD70DC9" w14:textId="4963077C" w:rsidR="007C5513" w:rsidRDefault="007C5513" w:rsidP="007C5513">
      <w:pPr>
        <w:pStyle w:val="Caption"/>
        <w:rPr>
          <w:rFonts w:eastAsia="Arial" w:cs="Arial"/>
        </w:rPr>
      </w:pPr>
      <w:r w:rsidRPr="00442D9E">
        <w:rPr>
          <w:rFonts w:cs="Arial"/>
        </w:rPr>
        <w:t xml:space="preserve">Table </w:t>
      </w:r>
      <w:r w:rsidRPr="00442D9E">
        <w:rPr>
          <w:rFonts w:cs="Arial"/>
        </w:rPr>
        <w:fldChar w:fldCharType="begin"/>
      </w:r>
      <w:r w:rsidRPr="00442D9E">
        <w:rPr>
          <w:rFonts w:cs="Arial"/>
        </w:rPr>
        <w:instrText xml:space="preserve"> SEQ Table \* ARABIC </w:instrText>
      </w:r>
      <w:r w:rsidRPr="00442D9E">
        <w:rPr>
          <w:rFonts w:cs="Arial"/>
        </w:rPr>
        <w:fldChar w:fldCharType="separate"/>
      </w:r>
      <w:r w:rsidR="00853142">
        <w:rPr>
          <w:rFonts w:cs="Arial"/>
          <w:noProof/>
        </w:rPr>
        <w:t>1</w:t>
      </w:r>
      <w:r w:rsidRPr="00442D9E">
        <w:rPr>
          <w:rFonts w:cs="Arial"/>
        </w:rPr>
        <w:fldChar w:fldCharType="end"/>
      </w:r>
      <w:r w:rsidRPr="00442D9E">
        <w:rPr>
          <w:rFonts w:cs="Arial"/>
        </w:rPr>
        <w:t xml:space="preserve">: </w:t>
      </w:r>
      <w:r w:rsidRPr="00442D9E">
        <w:rPr>
          <w:rFonts w:eastAsia="Arial" w:cs="Arial"/>
        </w:rPr>
        <w:t xml:space="preserve">Progress against the Fourth National STI Strategy </w:t>
      </w:r>
    </w:p>
    <w:tbl>
      <w:tblPr>
        <w:tblStyle w:val="DepartmentofHealthtable1"/>
        <w:tblW w:w="9781" w:type="dxa"/>
        <w:tblBorders>
          <w:top w:val="single" w:sz="18" w:space="0" w:color="009444"/>
          <w:bottom w:val="single" w:sz="18" w:space="0" w:color="009444"/>
          <w:insideH w:val="single" w:sz="4" w:space="0" w:color="A6A6A6"/>
        </w:tblBorders>
        <w:tblLayout w:type="fixed"/>
        <w:tblLook w:val="04A0" w:firstRow="1" w:lastRow="0" w:firstColumn="1" w:lastColumn="0" w:noHBand="0" w:noVBand="1"/>
      </w:tblPr>
      <w:tblGrid>
        <w:gridCol w:w="709"/>
        <w:gridCol w:w="567"/>
        <w:gridCol w:w="2121"/>
        <w:gridCol w:w="567"/>
        <w:gridCol w:w="2127"/>
        <w:gridCol w:w="572"/>
        <w:gridCol w:w="3118"/>
      </w:tblGrid>
      <w:tr w:rsidR="006A3CB0" w:rsidRPr="00676E0E" w14:paraId="043E451A" w14:textId="77777777" w:rsidTr="007403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781" w:type="dxa"/>
            <w:gridSpan w:val="7"/>
            <w:tcBorders>
              <w:top w:val="single" w:sz="18" w:space="0" w:color="FF9933"/>
              <w:bottom w:val="single" w:sz="4" w:space="0" w:color="A6A6A6" w:themeColor="background1" w:themeShade="A6"/>
            </w:tcBorders>
            <w:shd w:val="clear" w:color="auto" w:fill="FE9648"/>
          </w:tcPr>
          <w:p w14:paraId="7F8AA08D" w14:textId="1DFA9A2F" w:rsidR="00676E0E" w:rsidRPr="00676E0E" w:rsidRDefault="002E6DDF" w:rsidP="006E397F">
            <w:pPr>
              <w:spacing w:before="80" w:after="80" w:line="280" w:lineRule="exact"/>
              <w:rPr>
                <w:rFonts w:eastAsia="Arial" w:cs="Arial"/>
                <w:b/>
                <w:bCs/>
                <w:color w:val="FFFFFF"/>
                <w:lang w:eastAsia="en-US"/>
              </w:rPr>
            </w:pPr>
            <w:r w:rsidRPr="00096225">
              <w:rPr>
                <w:rFonts w:eastAsia="Arial" w:cs="Arial"/>
                <w:b/>
                <w:bCs/>
                <w:color w:val="000000"/>
                <w:lang w:eastAsia="en-US"/>
              </w:rPr>
              <w:t>Progress against Fourth National STI Strategy’s targets, as at the end of 2020</w:t>
            </w:r>
            <w:r w:rsidR="008B43F1">
              <w:rPr>
                <w:rFonts w:ascii="ZWAdobeF" w:eastAsia="Arial" w:hAnsi="ZWAdobeF" w:cs="ZWAdobeF"/>
                <w:bCs/>
                <w:color w:val="auto"/>
                <w:sz w:val="2"/>
                <w:szCs w:val="2"/>
                <w:lang w:eastAsia="en-US"/>
              </w:rPr>
              <w:t>44F</w:t>
            </w:r>
            <w:r w:rsidRPr="00096225">
              <w:rPr>
                <w:rStyle w:val="EndnoteReference"/>
                <w:rFonts w:eastAsia="Arial" w:cs="Arial"/>
                <w:b/>
                <w:bCs/>
                <w:color w:val="000000"/>
                <w:lang w:eastAsia="en-US"/>
              </w:rPr>
              <w:endnoteReference w:id="44"/>
            </w:r>
          </w:p>
        </w:tc>
      </w:tr>
      <w:tr w:rsidR="00676E0E" w:rsidRPr="00676E0E" w14:paraId="3C12DE12" w14:textId="77777777" w:rsidTr="007403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6A6A6" w:themeColor="background1" w:themeShade="A6"/>
              <w:bottom w:val="single" w:sz="18" w:space="0" w:color="FF9933"/>
            </w:tcBorders>
            <w:shd w:val="clear" w:color="auto" w:fill="EAEAEA"/>
            <w:vAlign w:val="center"/>
          </w:tcPr>
          <w:p w14:paraId="63ED9DEE" w14:textId="77777777" w:rsidR="00676E0E" w:rsidRPr="00676E0E" w:rsidRDefault="00676E0E" w:rsidP="00676E0E">
            <w:pPr>
              <w:spacing w:before="60" w:after="60"/>
              <w:jc w:val="both"/>
              <w:rPr>
                <w:rFonts w:eastAsia="Times New Roman" w:cs="Times New Roman"/>
                <w:b/>
                <w:bCs/>
                <w:szCs w:val="21"/>
                <w:lang w:eastAsia="en-AU"/>
              </w:rPr>
            </w:pPr>
            <w:r w:rsidRPr="00676E0E">
              <w:rPr>
                <w:rFonts w:eastAsia="Times New Roman" w:cs="Times New Roman"/>
                <w:b/>
                <w:bCs/>
                <w:szCs w:val="21"/>
                <w:lang w:eastAsia="en-AU"/>
              </w:rPr>
              <w:t>Key:</w:t>
            </w:r>
          </w:p>
        </w:tc>
        <w:tc>
          <w:tcPr>
            <w:tcW w:w="567" w:type="dxa"/>
            <w:tcBorders>
              <w:top w:val="single" w:sz="4" w:space="0" w:color="A6A6A6" w:themeColor="background1" w:themeShade="A6"/>
              <w:bottom w:val="single" w:sz="18" w:space="0" w:color="F7941D"/>
            </w:tcBorders>
            <w:shd w:val="clear" w:color="auto" w:fill="EAEAEA"/>
            <w:vAlign w:val="center"/>
          </w:tcPr>
          <w:p w14:paraId="2DD0A91A" w14:textId="77777777" w:rsidR="00676E0E" w:rsidRPr="00676E0E" w:rsidRDefault="00676E0E" w:rsidP="00676E0E">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szCs w:val="22"/>
                <w:lang w:eastAsia="en-AU"/>
              </w:rPr>
            </w:pPr>
            <w:r w:rsidRPr="00676E0E">
              <w:rPr>
                <w:rFonts w:eastAsia="Times New Roman" w:cs="Times New Roman"/>
                <w:noProof/>
                <w:sz w:val="22"/>
                <w:szCs w:val="22"/>
                <w:lang w:eastAsia="en-AU"/>
              </w:rPr>
              <w:drawing>
                <wp:inline distT="0" distB="0" distL="0" distR="0" wp14:anchorId="21EF89AC" wp14:editId="3EFB1A5C">
                  <wp:extent cx="280800" cy="280800"/>
                  <wp:effectExtent l="0" t="0" r="5080" b="5080"/>
                  <wp:docPr id="4" name="Graphic 4" descr="P361C3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361C3T3#yIS1">
                            <a:extLst>
                              <a:ext uri="{C183D7F6-B498-43B3-948B-1728B52AA6E4}">
                                <adec:decorative xmlns:adec="http://schemas.microsoft.com/office/drawing/2017/decorative" val="1"/>
                              </a:ext>
                            </a:extLst>
                          </pic:cNvPr>
                          <pic:cNvPicPr/>
                        </pic:nvPicPr>
                        <pic:blipFill>
                          <a:blip r:embed="rId61">
                            <a:extLst>
                              <a:ext uri="{96DAC541-7B7A-43D3-8B79-37D633B846F1}">
                                <asvg:svgBlip xmlns:asvg="http://schemas.microsoft.com/office/drawing/2016/SVG/main" r:embed="rId62"/>
                              </a:ext>
                            </a:extLst>
                          </a:blip>
                          <a:stretch>
                            <a:fillRect/>
                          </a:stretch>
                        </pic:blipFill>
                        <pic:spPr>
                          <a:xfrm>
                            <a:off x="0" y="0"/>
                            <a:ext cx="280800" cy="280800"/>
                          </a:xfrm>
                          <a:prstGeom prst="rect">
                            <a:avLst/>
                          </a:prstGeom>
                        </pic:spPr>
                      </pic:pic>
                    </a:graphicData>
                  </a:graphic>
                </wp:inline>
              </w:drawing>
            </w:r>
          </w:p>
        </w:tc>
        <w:tc>
          <w:tcPr>
            <w:tcW w:w="2121" w:type="dxa"/>
            <w:tcBorders>
              <w:top w:val="single" w:sz="4" w:space="0" w:color="A6A6A6" w:themeColor="background1" w:themeShade="A6"/>
              <w:bottom w:val="single" w:sz="18" w:space="0" w:color="F7941D"/>
            </w:tcBorders>
            <w:shd w:val="clear" w:color="auto" w:fill="EAEAEA"/>
            <w:vAlign w:val="center"/>
          </w:tcPr>
          <w:p w14:paraId="38F404AA" w14:textId="77777777" w:rsidR="00676E0E" w:rsidRPr="00676E0E" w:rsidRDefault="00676E0E" w:rsidP="00676E0E">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1"/>
                <w:lang w:eastAsia="en-AU"/>
              </w:rPr>
            </w:pPr>
            <w:r w:rsidRPr="00676E0E">
              <w:rPr>
                <w:rFonts w:eastAsia="Times New Roman"/>
                <w:szCs w:val="21"/>
                <w:lang w:eastAsia="en-AU"/>
              </w:rPr>
              <w:t>Not yet achieved</w:t>
            </w:r>
          </w:p>
        </w:tc>
        <w:tc>
          <w:tcPr>
            <w:tcW w:w="567" w:type="dxa"/>
            <w:tcBorders>
              <w:top w:val="single" w:sz="4" w:space="0" w:color="A6A6A6" w:themeColor="background1" w:themeShade="A6"/>
              <w:bottom w:val="single" w:sz="18" w:space="0" w:color="F7941D"/>
            </w:tcBorders>
            <w:shd w:val="clear" w:color="auto" w:fill="EAEAEA"/>
            <w:vAlign w:val="center"/>
          </w:tcPr>
          <w:p w14:paraId="0463CCC5" w14:textId="77777777" w:rsidR="00676E0E" w:rsidRPr="00676E0E" w:rsidRDefault="00676E0E" w:rsidP="00676E0E">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1"/>
                <w:lang w:eastAsia="en-AU"/>
              </w:rPr>
            </w:pPr>
            <w:r w:rsidRPr="00676E0E">
              <w:rPr>
                <w:rFonts w:eastAsia="Times New Roman" w:cs="Times New Roman"/>
                <w:noProof/>
                <w:szCs w:val="21"/>
                <w:lang w:eastAsia="en-AU"/>
              </w:rPr>
              <w:drawing>
                <wp:inline distT="0" distB="0" distL="0" distR="0" wp14:anchorId="6652C741" wp14:editId="422F12CA">
                  <wp:extent cx="280800" cy="280800"/>
                  <wp:effectExtent l="0" t="0" r="5080" b="5080"/>
                  <wp:docPr id="10" name="Graphic 10" descr="P363C5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363C5T3#yIS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280800" cy="280800"/>
                          </a:xfrm>
                          <a:prstGeom prst="rect">
                            <a:avLst/>
                          </a:prstGeom>
                        </pic:spPr>
                      </pic:pic>
                    </a:graphicData>
                  </a:graphic>
                </wp:inline>
              </w:drawing>
            </w:r>
          </w:p>
        </w:tc>
        <w:tc>
          <w:tcPr>
            <w:tcW w:w="2127" w:type="dxa"/>
            <w:tcBorders>
              <w:top w:val="single" w:sz="4" w:space="0" w:color="A6A6A6" w:themeColor="background1" w:themeShade="A6"/>
              <w:bottom w:val="single" w:sz="18" w:space="0" w:color="F7941D"/>
            </w:tcBorders>
            <w:shd w:val="clear" w:color="auto" w:fill="EAEAEA"/>
            <w:vAlign w:val="center"/>
          </w:tcPr>
          <w:p w14:paraId="03B36156" w14:textId="77777777" w:rsidR="00676E0E" w:rsidRPr="00676E0E" w:rsidRDefault="00676E0E" w:rsidP="00676E0E">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1"/>
                <w:lang w:eastAsia="en-AU"/>
              </w:rPr>
            </w:pPr>
            <w:r w:rsidRPr="00676E0E">
              <w:rPr>
                <w:rFonts w:eastAsia="Times New Roman" w:cs="Times New Roman"/>
                <w:szCs w:val="21"/>
                <w:lang w:eastAsia="en-AU"/>
              </w:rPr>
              <w:t>Partly achieved</w:t>
            </w:r>
          </w:p>
        </w:tc>
        <w:tc>
          <w:tcPr>
            <w:tcW w:w="572" w:type="dxa"/>
            <w:tcBorders>
              <w:top w:val="single" w:sz="4" w:space="0" w:color="A6A6A6" w:themeColor="background1" w:themeShade="A6"/>
              <w:bottom w:val="single" w:sz="18" w:space="0" w:color="F7941D"/>
            </w:tcBorders>
            <w:shd w:val="clear" w:color="auto" w:fill="EAEAEA"/>
            <w:vAlign w:val="center"/>
          </w:tcPr>
          <w:p w14:paraId="13A9C376" w14:textId="39F1510C" w:rsidR="00676E0E" w:rsidRPr="00676E0E" w:rsidRDefault="00676E0E" w:rsidP="00676E0E">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1"/>
                <w:lang w:eastAsia="en-AU"/>
              </w:rPr>
            </w:pPr>
          </w:p>
        </w:tc>
        <w:tc>
          <w:tcPr>
            <w:tcW w:w="3118" w:type="dxa"/>
            <w:tcBorders>
              <w:top w:val="single" w:sz="4" w:space="0" w:color="A6A6A6" w:themeColor="background1" w:themeShade="A6"/>
              <w:bottom w:val="single" w:sz="18" w:space="0" w:color="F7941D"/>
            </w:tcBorders>
            <w:shd w:val="clear" w:color="auto" w:fill="EAEAEA"/>
            <w:vAlign w:val="center"/>
          </w:tcPr>
          <w:p w14:paraId="72BC4794" w14:textId="79BF0B67" w:rsidR="00676E0E" w:rsidRPr="00676E0E" w:rsidRDefault="00676E0E" w:rsidP="00676E0E">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1"/>
                <w:lang w:eastAsia="en-AU"/>
              </w:rPr>
            </w:pPr>
          </w:p>
        </w:tc>
      </w:tr>
      <w:tr w:rsidR="00676E0E" w:rsidRPr="00676E0E" w14:paraId="09715FA8" w14:textId="77777777" w:rsidTr="007403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FF9933"/>
              <w:bottom w:val="single" w:sz="6" w:space="0" w:color="BFBFBF" w:themeColor="background1" w:themeShade="BF"/>
            </w:tcBorders>
          </w:tcPr>
          <w:p w14:paraId="3ADE2232" w14:textId="77777777" w:rsidR="00676E0E" w:rsidRPr="00676E0E" w:rsidRDefault="00676E0E" w:rsidP="00676E0E">
            <w:pPr>
              <w:spacing w:before="60" w:after="60"/>
              <w:jc w:val="both"/>
              <w:rPr>
                <w:rFonts w:eastAsia="Times New Roman" w:cs="Times New Roman"/>
                <w:b/>
                <w:bCs/>
                <w:sz w:val="22"/>
                <w:szCs w:val="22"/>
                <w:lang w:eastAsia="en-AU"/>
              </w:rPr>
            </w:pPr>
            <w:r w:rsidRPr="00676E0E">
              <w:rPr>
                <w:rFonts w:eastAsia="Times New Roman" w:cs="Times New Roman"/>
                <w:noProof/>
                <w:sz w:val="22"/>
                <w:szCs w:val="22"/>
                <w:lang w:eastAsia="en-AU"/>
              </w:rPr>
              <w:drawing>
                <wp:inline distT="0" distB="0" distL="0" distR="0" wp14:anchorId="56DC6BA0" wp14:editId="22F0A148">
                  <wp:extent cx="280800" cy="280800"/>
                  <wp:effectExtent l="0" t="0" r="5080" b="5080"/>
                  <wp:docPr id="12" name="Graphic 12" descr="P368C9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368C9T3#yIS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280800" cy="280800"/>
                          </a:xfrm>
                          <a:prstGeom prst="rect">
                            <a:avLst/>
                          </a:prstGeom>
                        </pic:spPr>
                      </pic:pic>
                    </a:graphicData>
                  </a:graphic>
                </wp:inline>
              </w:drawing>
            </w:r>
          </w:p>
        </w:tc>
        <w:tc>
          <w:tcPr>
            <w:tcW w:w="9072" w:type="dxa"/>
            <w:gridSpan w:val="6"/>
            <w:tcBorders>
              <w:top w:val="single" w:sz="18" w:space="0" w:color="F7941D"/>
              <w:bottom w:val="single" w:sz="6" w:space="0" w:color="BFBFBF" w:themeColor="background1" w:themeShade="BF"/>
            </w:tcBorders>
            <w:vAlign w:val="center"/>
          </w:tcPr>
          <w:p w14:paraId="76D2A0D7" w14:textId="06F40009" w:rsidR="00676E0E" w:rsidRPr="00676E0E" w:rsidRDefault="000E71D9" w:rsidP="006A3CB0">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2"/>
                <w:szCs w:val="22"/>
                <w:lang w:eastAsia="en-AU"/>
              </w:rPr>
            </w:pPr>
            <w:r w:rsidRPr="000E71D9">
              <w:rPr>
                <w:rFonts w:eastAsia="Times New Roman" w:cs="Times New Roman"/>
                <w:b/>
                <w:bCs/>
                <w:sz w:val="22"/>
                <w:szCs w:val="22"/>
                <w:lang w:eastAsia="en-AU"/>
              </w:rPr>
              <w:t>Achieve and maintain HPV adolescent vaccination coverage of 80</w:t>
            </w:r>
            <w:r w:rsidR="00D57AF7">
              <w:rPr>
                <w:rFonts w:eastAsia="Times New Roman" w:cs="Times New Roman"/>
                <w:b/>
                <w:bCs/>
                <w:sz w:val="22"/>
                <w:szCs w:val="22"/>
                <w:lang w:eastAsia="en-AU"/>
              </w:rPr>
              <w:t>%</w:t>
            </w:r>
          </w:p>
        </w:tc>
      </w:tr>
      <w:tr w:rsidR="00DB7834" w:rsidRPr="00676E0E" w14:paraId="12ED9F0F" w14:textId="77777777" w:rsidTr="00740328">
        <w:trPr>
          <w:cnfStyle w:val="000000100000" w:firstRow="0" w:lastRow="0" w:firstColumn="0" w:lastColumn="0" w:oddVBand="0" w:evenVBand="0" w:oddHBand="1" w:evenHBand="0" w:firstRowFirstColumn="0" w:firstRowLastColumn="0" w:lastRowFirstColumn="0" w:lastRowLastColumn="0"/>
          <w:cantSplit/>
          <w:trHeight w:val="1057"/>
        </w:trPr>
        <w:tc>
          <w:tcPr>
            <w:cnfStyle w:val="001000000000" w:firstRow="0" w:lastRow="0" w:firstColumn="1" w:lastColumn="0" w:oddVBand="0" w:evenVBand="0" w:oddHBand="0" w:evenHBand="0" w:firstRowFirstColumn="0" w:firstRowLastColumn="0" w:lastRowFirstColumn="0" w:lastRowLastColumn="0"/>
            <w:tcW w:w="9781" w:type="dxa"/>
            <w:gridSpan w:val="7"/>
            <w:tcBorders>
              <w:top w:val="single" w:sz="6" w:space="0" w:color="BFBFBF" w:themeColor="background1" w:themeShade="BF"/>
              <w:bottom w:val="single" w:sz="18" w:space="0" w:color="FF9933"/>
            </w:tcBorders>
          </w:tcPr>
          <w:p w14:paraId="5D6F53C5" w14:textId="31F9C8AE" w:rsidR="00676E0E" w:rsidRPr="00676E0E" w:rsidRDefault="000E71D9" w:rsidP="003B2996">
            <w:pPr>
              <w:spacing w:before="60" w:after="120"/>
              <w:rPr>
                <w:rFonts w:eastAsia="Times New Roman" w:cs="Times New Roman"/>
                <w:sz w:val="22"/>
                <w:szCs w:val="22"/>
                <w:lang w:eastAsia="en-AU"/>
              </w:rPr>
            </w:pPr>
            <w:r w:rsidRPr="003B2996">
              <w:rPr>
                <w:rFonts w:eastAsia="Arial" w:cs="Arial"/>
                <w:sz w:val="22"/>
                <w:szCs w:val="22"/>
                <w:lang w:eastAsia="en-US"/>
              </w:rPr>
              <w:t xml:space="preserve">In </w:t>
            </w:r>
            <w:bookmarkStart w:id="47" w:name="_Hlk98493496"/>
            <w:r w:rsidRPr="003B2996">
              <w:rPr>
                <w:rFonts w:eastAsia="Arial" w:cs="Arial"/>
                <w:sz w:val="22"/>
                <w:szCs w:val="22"/>
                <w:lang w:eastAsia="en-US"/>
              </w:rPr>
              <w:t>2020, 80.5</w:t>
            </w:r>
            <w:r w:rsidR="00D57AF7">
              <w:rPr>
                <w:rFonts w:eastAsia="Arial" w:cs="Arial"/>
                <w:sz w:val="22"/>
                <w:szCs w:val="22"/>
                <w:lang w:eastAsia="en-US"/>
              </w:rPr>
              <w:t>%</w:t>
            </w:r>
            <w:r w:rsidRPr="003B2996">
              <w:rPr>
                <w:rFonts w:eastAsia="Arial" w:cs="Arial"/>
                <w:sz w:val="22"/>
                <w:szCs w:val="22"/>
                <w:lang w:eastAsia="en-US"/>
              </w:rPr>
              <w:t xml:space="preserve"> of girls and 77.6</w:t>
            </w:r>
            <w:r w:rsidR="00D57AF7">
              <w:rPr>
                <w:rFonts w:eastAsia="Arial" w:cs="Arial"/>
                <w:sz w:val="22"/>
                <w:szCs w:val="22"/>
                <w:lang w:eastAsia="en-US"/>
              </w:rPr>
              <w:t>%</w:t>
            </w:r>
            <w:r w:rsidRPr="003B2996">
              <w:rPr>
                <w:rFonts w:eastAsia="Arial" w:cs="Arial"/>
                <w:sz w:val="22"/>
                <w:szCs w:val="22"/>
                <w:lang w:eastAsia="en-US"/>
              </w:rPr>
              <w:t xml:space="preserve"> of boys (75.0</w:t>
            </w:r>
            <w:r w:rsidR="006C42FF">
              <w:rPr>
                <w:rFonts w:eastAsia="Arial" w:cs="Arial"/>
                <w:sz w:val="22"/>
                <w:szCs w:val="22"/>
                <w:lang w:eastAsia="en-US"/>
              </w:rPr>
              <w:t>%</w:t>
            </w:r>
            <w:r w:rsidRPr="003B2996">
              <w:rPr>
                <w:rFonts w:eastAsia="Arial" w:cs="Arial"/>
                <w:sz w:val="22"/>
                <w:szCs w:val="22"/>
                <w:lang w:eastAsia="en-US"/>
              </w:rPr>
              <w:t xml:space="preserve"> and </w:t>
            </w:r>
            <w:bookmarkEnd w:id="47"/>
            <w:r w:rsidRPr="003B2996">
              <w:rPr>
                <w:rFonts w:eastAsia="Arial" w:cs="Arial"/>
                <w:sz w:val="22"/>
                <w:szCs w:val="22"/>
                <w:lang w:eastAsia="en-US"/>
              </w:rPr>
              <w:t>68.0</w:t>
            </w:r>
            <w:r w:rsidR="006C42FF">
              <w:rPr>
                <w:rFonts w:eastAsia="Arial" w:cs="Arial"/>
                <w:sz w:val="22"/>
                <w:szCs w:val="22"/>
                <w:lang w:eastAsia="en-US"/>
              </w:rPr>
              <w:t>%</w:t>
            </w:r>
            <w:r w:rsidRPr="003B2996">
              <w:rPr>
                <w:rFonts w:eastAsia="Arial" w:cs="Arial"/>
                <w:sz w:val="22"/>
                <w:szCs w:val="22"/>
                <w:lang w:eastAsia="en-US"/>
              </w:rPr>
              <w:t xml:space="preserve"> for Indigenous adolescents) had completed the human papillomavirus (HPV) vaccination schedule by 15 years of age, up from 79.7</w:t>
            </w:r>
            <w:r w:rsidR="006C42FF">
              <w:rPr>
                <w:rFonts w:eastAsia="Arial" w:cs="Arial"/>
                <w:sz w:val="22"/>
                <w:szCs w:val="22"/>
                <w:lang w:eastAsia="en-US"/>
              </w:rPr>
              <w:t>%</w:t>
            </w:r>
            <w:r w:rsidRPr="003B2996">
              <w:rPr>
                <w:rFonts w:eastAsia="Arial" w:cs="Arial"/>
                <w:sz w:val="22"/>
                <w:szCs w:val="22"/>
                <w:lang w:eastAsia="en-US"/>
              </w:rPr>
              <w:t xml:space="preserve"> of girls and 73.8</w:t>
            </w:r>
            <w:r w:rsidR="006C42FF">
              <w:rPr>
                <w:rFonts w:eastAsia="Arial" w:cs="Arial"/>
                <w:sz w:val="22"/>
                <w:szCs w:val="22"/>
                <w:lang w:eastAsia="en-US"/>
              </w:rPr>
              <w:t>%</w:t>
            </w:r>
            <w:r w:rsidRPr="003B2996">
              <w:rPr>
                <w:rFonts w:eastAsia="Arial" w:cs="Arial"/>
                <w:sz w:val="22"/>
                <w:szCs w:val="22"/>
                <w:lang w:eastAsia="en-US"/>
              </w:rPr>
              <w:t xml:space="preserve"> of boys in 2016.</w:t>
            </w:r>
            <w:r w:rsidR="008B43F1">
              <w:rPr>
                <w:rFonts w:ascii="ZWAdobeF" w:eastAsia="Arial" w:hAnsi="ZWAdobeF" w:cs="ZWAdobeF"/>
                <w:color w:val="auto"/>
                <w:sz w:val="2"/>
                <w:szCs w:val="2"/>
                <w:lang w:eastAsia="en-US"/>
              </w:rPr>
              <w:t>45F</w:t>
            </w:r>
            <w:r w:rsidRPr="003B2996">
              <w:rPr>
                <w:rStyle w:val="EndnoteReference"/>
                <w:rFonts w:eastAsia="Arial" w:cs="Arial"/>
                <w:sz w:val="22"/>
                <w:szCs w:val="22"/>
                <w:lang w:eastAsia="en-US"/>
              </w:rPr>
              <w:endnoteReference w:id="45"/>
            </w:r>
          </w:p>
        </w:tc>
      </w:tr>
      <w:tr w:rsidR="00676E0E" w:rsidRPr="00676E0E" w14:paraId="2A9D2E58" w14:textId="77777777" w:rsidTr="007403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FF9933"/>
              <w:bottom w:val="single" w:sz="6" w:space="0" w:color="BFBFBF" w:themeColor="background1" w:themeShade="BF"/>
              <w:right w:val="nil"/>
            </w:tcBorders>
          </w:tcPr>
          <w:p w14:paraId="40FBCAE8" w14:textId="40DED3BE" w:rsidR="00676E0E" w:rsidRPr="00676E0E" w:rsidRDefault="000E71D9" w:rsidP="00676E0E">
            <w:pPr>
              <w:spacing w:before="60" w:after="60"/>
              <w:jc w:val="both"/>
              <w:rPr>
                <w:rFonts w:eastAsia="Times New Roman" w:cs="Times New Roman"/>
                <w:b/>
                <w:bCs/>
                <w:sz w:val="22"/>
                <w:szCs w:val="22"/>
                <w:lang w:eastAsia="en-AU"/>
              </w:rPr>
            </w:pPr>
            <w:r w:rsidRPr="00676E0E">
              <w:rPr>
                <w:rFonts w:eastAsia="Times New Roman" w:cs="Times New Roman"/>
                <w:noProof/>
                <w:sz w:val="22"/>
                <w:szCs w:val="22"/>
                <w:lang w:eastAsia="en-AU"/>
              </w:rPr>
              <w:drawing>
                <wp:inline distT="0" distB="0" distL="0" distR="0" wp14:anchorId="3F6DE57B" wp14:editId="04680F17">
                  <wp:extent cx="280800" cy="280800"/>
                  <wp:effectExtent l="0" t="0" r="5080" b="5080"/>
                  <wp:docPr id="1814241004" name="Graphic 1814241004" descr="P373C12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41004" name="Graphic 1814241004" descr="P373C12T3#yIS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280800" cy="280800"/>
                          </a:xfrm>
                          <a:prstGeom prst="rect">
                            <a:avLst/>
                          </a:prstGeom>
                        </pic:spPr>
                      </pic:pic>
                    </a:graphicData>
                  </a:graphic>
                </wp:inline>
              </w:drawing>
            </w:r>
          </w:p>
        </w:tc>
        <w:tc>
          <w:tcPr>
            <w:tcW w:w="9072" w:type="dxa"/>
            <w:gridSpan w:val="6"/>
            <w:tcBorders>
              <w:top w:val="single" w:sz="18" w:space="0" w:color="FF9933"/>
              <w:left w:val="nil"/>
              <w:bottom w:val="single" w:sz="6" w:space="0" w:color="BFBFBF" w:themeColor="background1" w:themeShade="BF"/>
            </w:tcBorders>
            <w:vAlign w:val="center"/>
          </w:tcPr>
          <w:p w14:paraId="16A3F290" w14:textId="05E03207" w:rsidR="00676E0E" w:rsidRPr="00676E0E" w:rsidRDefault="000E71D9" w:rsidP="006A3CB0">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2"/>
                <w:szCs w:val="22"/>
                <w:lang w:eastAsia="en-AU"/>
              </w:rPr>
            </w:pPr>
            <w:r w:rsidRPr="000E71D9">
              <w:rPr>
                <w:rFonts w:eastAsia="Times New Roman" w:cs="Times New Roman"/>
                <w:b/>
                <w:bCs/>
                <w:sz w:val="22"/>
                <w:szCs w:val="22"/>
                <w:lang w:eastAsia="en-AU"/>
              </w:rPr>
              <w:t>Increase STI testing coverage in priority populations</w:t>
            </w:r>
          </w:p>
        </w:tc>
      </w:tr>
      <w:tr w:rsidR="00676E0E" w:rsidRPr="00676E0E" w14:paraId="63EC9B4B" w14:textId="77777777" w:rsidTr="00740328">
        <w:trPr>
          <w:cnfStyle w:val="000000100000" w:firstRow="0" w:lastRow="0" w:firstColumn="0" w:lastColumn="0" w:oddVBand="0" w:evenVBand="0" w:oddHBand="1" w:evenHBand="0" w:firstRowFirstColumn="0" w:firstRowLastColumn="0" w:lastRowFirstColumn="0" w:lastRowLastColumn="0"/>
          <w:cantSplit/>
          <w:trHeight w:val="2199"/>
        </w:trPr>
        <w:tc>
          <w:tcPr>
            <w:cnfStyle w:val="001000000000" w:firstRow="0" w:lastRow="0" w:firstColumn="1" w:lastColumn="0" w:oddVBand="0" w:evenVBand="0" w:oddHBand="0" w:evenHBand="0" w:firstRowFirstColumn="0" w:firstRowLastColumn="0" w:lastRowFirstColumn="0" w:lastRowLastColumn="0"/>
            <w:tcW w:w="9781" w:type="dxa"/>
            <w:gridSpan w:val="7"/>
            <w:tcBorders>
              <w:top w:val="single" w:sz="6" w:space="0" w:color="BFBFBF" w:themeColor="background1" w:themeShade="BF"/>
              <w:bottom w:val="single" w:sz="18" w:space="0" w:color="FF9933"/>
            </w:tcBorders>
            <w:vAlign w:val="center"/>
          </w:tcPr>
          <w:p w14:paraId="2011BF82" w14:textId="569484C1" w:rsidR="00676E0E" w:rsidRPr="00676E0E" w:rsidRDefault="000E71D9" w:rsidP="000D65D8">
            <w:pPr>
              <w:spacing w:before="60" w:after="120"/>
              <w:rPr>
                <w:rFonts w:eastAsia="Times New Roman" w:cs="Times New Roman"/>
                <w:sz w:val="22"/>
                <w:szCs w:val="22"/>
                <w:lang w:eastAsia="en-AU"/>
              </w:rPr>
            </w:pPr>
            <w:r w:rsidRPr="003B2996">
              <w:rPr>
                <w:rFonts w:eastAsia="Arial" w:cs="Arial"/>
                <w:sz w:val="22"/>
                <w:szCs w:val="22"/>
                <w:lang w:eastAsia="en-US"/>
              </w:rPr>
              <w:t>The rate of comprehensive STI testing in the past 12 months among gay and bisexual men increased from 43.8</w:t>
            </w:r>
            <w:r w:rsidR="006C42FF">
              <w:rPr>
                <w:rFonts w:eastAsia="Arial" w:cs="Arial"/>
                <w:sz w:val="22"/>
                <w:szCs w:val="22"/>
                <w:lang w:eastAsia="en-US"/>
              </w:rPr>
              <w:t>%</w:t>
            </w:r>
            <w:r w:rsidRPr="003B2996">
              <w:rPr>
                <w:rFonts w:eastAsia="Arial" w:cs="Arial"/>
                <w:sz w:val="22"/>
                <w:szCs w:val="22"/>
                <w:lang w:eastAsia="en-US"/>
              </w:rPr>
              <w:t xml:space="preserve"> in 2016 to 57.1</w:t>
            </w:r>
            <w:r w:rsidR="006C42FF">
              <w:rPr>
                <w:rFonts w:eastAsia="Arial" w:cs="Arial"/>
                <w:sz w:val="22"/>
                <w:szCs w:val="22"/>
                <w:lang w:eastAsia="en-US"/>
              </w:rPr>
              <w:t>%</w:t>
            </w:r>
            <w:r w:rsidRPr="003B2996">
              <w:rPr>
                <w:rFonts w:eastAsia="Arial" w:cs="Arial"/>
                <w:sz w:val="22"/>
                <w:szCs w:val="22"/>
                <w:lang w:eastAsia="en-US"/>
              </w:rPr>
              <w:t xml:space="preserve"> in 2020.</w:t>
            </w:r>
            <w:r w:rsidR="000D65D8">
              <w:rPr>
                <w:rFonts w:eastAsia="Arial" w:cs="Arial"/>
                <w:sz w:val="22"/>
                <w:szCs w:val="22"/>
                <w:lang w:eastAsia="en-US"/>
              </w:rPr>
              <w:t xml:space="preserve"> </w:t>
            </w:r>
            <w:r w:rsidR="00A5229C">
              <w:rPr>
                <w:rFonts w:eastAsia="Arial" w:cs="Arial"/>
                <w:sz w:val="22"/>
                <w:szCs w:val="22"/>
                <w:lang w:eastAsia="en-US"/>
              </w:rPr>
              <w:t>Of</w:t>
            </w:r>
            <w:r w:rsidRPr="003B2996">
              <w:rPr>
                <w:rFonts w:eastAsia="Arial" w:cs="Arial"/>
                <w:sz w:val="22"/>
                <w:szCs w:val="22"/>
                <w:lang w:eastAsia="en-US"/>
              </w:rPr>
              <w:t xml:space="preserve"> 54 sexual health clinics in the ACCESS network, 68</w:t>
            </w:r>
            <w:r w:rsidR="00945404">
              <w:rPr>
                <w:rFonts w:eastAsia="Arial" w:cs="Arial"/>
                <w:sz w:val="22"/>
                <w:szCs w:val="22"/>
                <w:lang w:eastAsia="en-US"/>
              </w:rPr>
              <w:t>%</w:t>
            </w:r>
            <w:r w:rsidRPr="003B2996">
              <w:rPr>
                <w:rFonts w:eastAsia="Arial" w:cs="Arial"/>
                <w:sz w:val="22"/>
                <w:szCs w:val="22"/>
                <w:lang w:eastAsia="en-US"/>
              </w:rPr>
              <w:t xml:space="preserve"> of gay and bisexual men had a repeat comprehensive STI screen (includes chlamydia and gonorrhoea test on any anatomical site, syphilis</w:t>
            </w:r>
            <w:r w:rsidR="000D65D8">
              <w:rPr>
                <w:rFonts w:eastAsia="Arial" w:cs="Arial"/>
                <w:sz w:val="22"/>
                <w:szCs w:val="22"/>
                <w:lang w:eastAsia="en-US"/>
              </w:rPr>
              <w:t>,</w:t>
            </w:r>
            <w:r w:rsidRPr="003B2996">
              <w:rPr>
                <w:rFonts w:eastAsia="Arial" w:cs="Arial"/>
                <w:sz w:val="22"/>
                <w:szCs w:val="22"/>
                <w:lang w:eastAsia="en-US"/>
              </w:rPr>
              <w:t xml:space="preserve"> and HIV </w:t>
            </w:r>
            <w:r w:rsidR="00A5229C">
              <w:rPr>
                <w:rFonts w:eastAsia="Arial" w:cs="Arial"/>
                <w:sz w:val="22"/>
                <w:szCs w:val="22"/>
                <w:lang w:eastAsia="en-US"/>
              </w:rPr>
              <w:t xml:space="preserve">test </w:t>
            </w:r>
            <w:r w:rsidRPr="003B2996">
              <w:rPr>
                <w:rFonts w:eastAsia="Arial" w:cs="Arial"/>
                <w:sz w:val="22"/>
                <w:szCs w:val="22"/>
                <w:lang w:eastAsia="en-US"/>
              </w:rPr>
              <w:t>among HIV</w:t>
            </w:r>
            <w:r w:rsidRPr="003B2996">
              <w:rPr>
                <w:rFonts w:ascii="Cambria Math" w:eastAsia="Arial" w:hAnsi="Cambria Math" w:cs="Cambria Math"/>
                <w:sz w:val="22"/>
                <w:szCs w:val="22"/>
                <w:lang w:eastAsia="en-US"/>
              </w:rPr>
              <w:t>‑</w:t>
            </w:r>
            <w:r w:rsidRPr="003B2996">
              <w:rPr>
                <w:rFonts w:eastAsia="Arial" w:cs="Arial"/>
                <w:sz w:val="22"/>
                <w:szCs w:val="22"/>
                <w:lang w:eastAsia="en-US"/>
              </w:rPr>
              <w:t>negative men) within 13 months in 2020, up from 61</w:t>
            </w:r>
            <w:r w:rsidR="00717DB8">
              <w:rPr>
                <w:rFonts w:eastAsia="Arial" w:cs="Arial"/>
                <w:sz w:val="22"/>
                <w:szCs w:val="22"/>
                <w:lang w:eastAsia="en-US"/>
              </w:rPr>
              <w:t>%</w:t>
            </w:r>
            <w:r w:rsidRPr="003B2996">
              <w:rPr>
                <w:rFonts w:eastAsia="Arial" w:cs="Arial"/>
                <w:sz w:val="22"/>
                <w:szCs w:val="22"/>
                <w:lang w:eastAsia="en-US"/>
              </w:rPr>
              <w:t xml:space="preserve"> in 2016.</w:t>
            </w:r>
            <w:r w:rsidR="000D65D8">
              <w:rPr>
                <w:rFonts w:eastAsia="Arial" w:cs="Arial"/>
                <w:sz w:val="22"/>
                <w:szCs w:val="22"/>
                <w:lang w:eastAsia="en-US"/>
              </w:rPr>
              <w:t xml:space="preserve"> </w:t>
            </w:r>
            <w:r w:rsidRPr="003B2996">
              <w:rPr>
                <w:rFonts w:eastAsia="Arial" w:cs="Arial"/>
                <w:sz w:val="22"/>
                <w:szCs w:val="22"/>
                <w:lang w:eastAsia="en-US"/>
              </w:rPr>
              <w:t>Between 2016 and 2019, the number of Medicare</w:t>
            </w:r>
            <w:r w:rsidRPr="003B2996">
              <w:rPr>
                <w:rFonts w:ascii="Cambria Math" w:eastAsia="Arial" w:hAnsi="Cambria Math" w:cs="Cambria Math"/>
                <w:sz w:val="22"/>
                <w:szCs w:val="22"/>
                <w:lang w:eastAsia="en-US"/>
              </w:rPr>
              <w:t>‑</w:t>
            </w:r>
            <w:r w:rsidRPr="003B2996">
              <w:rPr>
                <w:rFonts w:eastAsia="Arial" w:cs="Arial"/>
                <w:sz w:val="22"/>
                <w:szCs w:val="22"/>
                <w:lang w:eastAsia="en-US"/>
              </w:rPr>
              <w:t>rebated chlamydia tests in Australia increased by 5.4</w:t>
            </w:r>
            <w:r w:rsidR="00717DB8">
              <w:rPr>
                <w:rFonts w:eastAsia="Arial" w:cs="Arial"/>
                <w:sz w:val="22"/>
                <w:szCs w:val="22"/>
                <w:lang w:eastAsia="en-US"/>
              </w:rPr>
              <w:t>%</w:t>
            </w:r>
            <w:r w:rsidRPr="003B2996">
              <w:rPr>
                <w:rFonts w:eastAsia="Arial" w:cs="Arial"/>
                <w:sz w:val="22"/>
                <w:szCs w:val="22"/>
                <w:lang w:eastAsia="en-US"/>
              </w:rPr>
              <w:t>.</w:t>
            </w:r>
            <w:r w:rsidR="008B43F1">
              <w:rPr>
                <w:rFonts w:ascii="ZWAdobeF" w:eastAsia="Arial" w:hAnsi="ZWAdobeF" w:cs="ZWAdobeF"/>
                <w:color w:val="auto"/>
                <w:sz w:val="2"/>
                <w:szCs w:val="2"/>
                <w:lang w:eastAsia="en-US"/>
              </w:rPr>
              <w:t>46F</w:t>
            </w:r>
            <w:r w:rsidRPr="003B2996">
              <w:rPr>
                <w:rStyle w:val="EndnoteReference"/>
                <w:rFonts w:eastAsia="Arial" w:cs="Arial"/>
                <w:sz w:val="22"/>
                <w:szCs w:val="22"/>
                <w:lang w:eastAsia="en-US"/>
              </w:rPr>
              <w:endnoteReference w:id="46"/>
            </w:r>
          </w:p>
        </w:tc>
      </w:tr>
      <w:tr w:rsidR="00676E0E" w:rsidRPr="00676E0E" w14:paraId="4924CE12" w14:textId="77777777" w:rsidTr="007403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FF9933"/>
              <w:bottom w:val="single" w:sz="6" w:space="0" w:color="BFBFBF" w:themeColor="background1" w:themeShade="BF"/>
              <w:right w:val="nil"/>
            </w:tcBorders>
          </w:tcPr>
          <w:p w14:paraId="070E6783" w14:textId="77777777" w:rsidR="00676E0E" w:rsidRPr="00676E0E" w:rsidRDefault="00676E0E" w:rsidP="00676E0E">
            <w:pPr>
              <w:spacing w:before="60" w:after="60"/>
              <w:jc w:val="both"/>
              <w:rPr>
                <w:rFonts w:eastAsia="Times New Roman" w:cs="Times New Roman"/>
                <w:b/>
                <w:bCs/>
                <w:sz w:val="22"/>
                <w:szCs w:val="22"/>
                <w:lang w:eastAsia="en-AU"/>
              </w:rPr>
            </w:pPr>
            <w:r w:rsidRPr="00676E0E">
              <w:rPr>
                <w:rFonts w:eastAsia="Times New Roman" w:cs="Times New Roman"/>
                <w:noProof/>
                <w:sz w:val="22"/>
                <w:szCs w:val="22"/>
                <w:lang w:eastAsia="en-AU"/>
              </w:rPr>
              <w:drawing>
                <wp:inline distT="0" distB="0" distL="0" distR="0" wp14:anchorId="7C9EE316" wp14:editId="2717A738">
                  <wp:extent cx="280800" cy="280800"/>
                  <wp:effectExtent l="0" t="0" r="5080" b="5080"/>
                  <wp:docPr id="15" name="Graphic 15" descr="P378C15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378C15T3#yIS1">
                            <a:extLst>
                              <a:ext uri="{C183D7F6-B498-43B3-948B-1728B52AA6E4}">
                                <adec:decorative xmlns:adec="http://schemas.microsoft.com/office/drawing/2017/decorative" val="1"/>
                              </a:ext>
                            </a:extLst>
                          </pic:cNvPr>
                          <pic:cNvPicPr/>
                        </pic:nvPicPr>
                        <pic:blipFill>
                          <a:blip r:embed="rId61">
                            <a:extLst>
                              <a:ext uri="{96DAC541-7B7A-43D3-8B79-37D633B846F1}">
                                <asvg:svgBlip xmlns:asvg="http://schemas.microsoft.com/office/drawing/2016/SVG/main" r:embed="rId62"/>
                              </a:ext>
                            </a:extLst>
                          </a:blip>
                          <a:stretch>
                            <a:fillRect/>
                          </a:stretch>
                        </pic:blipFill>
                        <pic:spPr>
                          <a:xfrm>
                            <a:off x="0" y="0"/>
                            <a:ext cx="280800" cy="280800"/>
                          </a:xfrm>
                          <a:prstGeom prst="rect">
                            <a:avLst/>
                          </a:prstGeom>
                        </pic:spPr>
                      </pic:pic>
                    </a:graphicData>
                  </a:graphic>
                </wp:inline>
              </w:drawing>
            </w:r>
          </w:p>
        </w:tc>
        <w:tc>
          <w:tcPr>
            <w:tcW w:w="9072" w:type="dxa"/>
            <w:gridSpan w:val="6"/>
            <w:tcBorders>
              <w:top w:val="single" w:sz="18" w:space="0" w:color="FF9933"/>
              <w:left w:val="nil"/>
              <w:bottom w:val="single" w:sz="6" w:space="0" w:color="BFBFBF" w:themeColor="background1" w:themeShade="BF"/>
            </w:tcBorders>
            <w:vAlign w:val="center"/>
          </w:tcPr>
          <w:p w14:paraId="4EA5C935" w14:textId="7ACAA72A" w:rsidR="00676E0E" w:rsidRPr="00676E0E" w:rsidRDefault="000E71D9" w:rsidP="006A3CB0">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2"/>
                <w:szCs w:val="22"/>
                <w:lang w:eastAsia="en-AU"/>
              </w:rPr>
            </w:pPr>
            <w:r w:rsidRPr="000E71D9">
              <w:rPr>
                <w:rFonts w:eastAsia="Times New Roman" w:cs="Times New Roman"/>
                <w:b/>
                <w:bCs/>
                <w:sz w:val="22"/>
                <w:szCs w:val="22"/>
                <w:lang w:eastAsia="en-AU"/>
              </w:rPr>
              <w:t>Reduce the prevalence of gonorrhoea, chlamydia</w:t>
            </w:r>
            <w:r w:rsidR="000A55A9">
              <w:rPr>
                <w:rFonts w:eastAsia="Times New Roman" w:cs="Times New Roman"/>
                <w:b/>
                <w:bCs/>
                <w:sz w:val="22"/>
                <w:szCs w:val="22"/>
                <w:lang w:eastAsia="en-AU"/>
              </w:rPr>
              <w:t>,</w:t>
            </w:r>
            <w:r w:rsidRPr="000E71D9">
              <w:rPr>
                <w:rFonts w:eastAsia="Times New Roman" w:cs="Times New Roman"/>
                <w:b/>
                <w:bCs/>
                <w:sz w:val="22"/>
                <w:szCs w:val="22"/>
                <w:lang w:eastAsia="en-AU"/>
              </w:rPr>
              <w:t xml:space="preserve"> and infectious syphilis</w:t>
            </w:r>
          </w:p>
        </w:tc>
      </w:tr>
      <w:tr w:rsidR="00676E0E" w:rsidRPr="00676E0E" w14:paraId="09D87CAC" w14:textId="77777777" w:rsidTr="00740328">
        <w:trPr>
          <w:cnfStyle w:val="000000100000" w:firstRow="0" w:lastRow="0" w:firstColumn="0" w:lastColumn="0" w:oddVBand="0" w:evenVBand="0" w:oddHBand="1" w:evenHBand="0" w:firstRowFirstColumn="0" w:firstRowLastColumn="0" w:lastRowFirstColumn="0" w:lastRowLastColumn="0"/>
          <w:cantSplit/>
          <w:trHeight w:val="886"/>
        </w:trPr>
        <w:tc>
          <w:tcPr>
            <w:cnfStyle w:val="001000000000" w:firstRow="0" w:lastRow="0" w:firstColumn="1" w:lastColumn="0" w:oddVBand="0" w:evenVBand="0" w:oddHBand="0" w:evenHBand="0" w:firstRowFirstColumn="0" w:firstRowLastColumn="0" w:lastRowFirstColumn="0" w:lastRowLastColumn="0"/>
            <w:tcW w:w="9781" w:type="dxa"/>
            <w:gridSpan w:val="7"/>
            <w:tcBorders>
              <w:top w:val="single" w:sz="6" w:space="0" w:color="BFBFBF" w:themeColor="background1" w:themeShade="BF"/>
              <w:bottom w:val="single" w:sz="18" w:space="0" w:color="FF9933"/>
            </w:tcBorders>
            <w:vAlign w:val="center"/>
          </w:tcPr>
          <w:p w14:paraId="24025DE2" w14:textId="1AB5B187" w:rsidR="00676E0E" w:rsidRPr="00676E0E" w:rsidRDefault="000E71D9" w:rsidP="000D65D8">
            <w:pPr>
              <w:spacing w:before="60" w:after="120"/>
              <w:rPr>
                <w:rFonts w:eastAsia="Times New Roman" w:cs="Times New Roman"/>
                <w:sz w:val="22"/>
                <w:szCs w:val="22"/>
                <w:lang w:eastAsia="en-AU"/>
              </w:rPr>
            </w:pPr>
            <w:r w:rsidRPr="003B2996">
              <w:rPr>
                <w:rFonts w:eastAsia="Arial" w:cs="Arial"/>
                <w:sz w:val="22"/>
                <w:szCs w:val="22"/>
                <w:lang w:eastAsia="en-US"/>
              </w:rPr>
              <w:t>Chlamydia notifications increased by 11.8</w:t>
            </w:r>
            <w:r w:rsidR="00945404">
              <w:rPr>
                <w:rFonts w:eastAsia="Arial" w:cs="Arial"/>
                <w:sz w:val="22"/>
                <w:szCs w:val="22"/>
                <w:lang w:eastAsia="en-US"/>
              </w:rPr>
              <w:t>%</w:t>
            </w:r>
            <w:r w:rsidRPr="003B2996">
              <w:rPr>
                <w:rFonts w:eastAsia="Arial" w:cs="Arial"/>
                <w:sz w:val="22"/>
                <w:szCs w:val="22"/>
                <w:lang w:eastAsia="en-US"/>
              </w:rPr>
              <w:t xml:space="preserve"> between 2016 and 2019 and then declined by 15.6</w:t>
            </w:r>
            <w:r w:rsidR="000A55A9">
              <w:rPr>
                <w:rFonts w:eastAsia="Arial" w:cs="Arial"/>
                <w:sz w:val="22"/>
                <w:szCs w:val="22"/>
                <w:lang w:eastAsia="en-US"/>
              </w:rPr>
              <w:t>%</w:t>
            </w:r>
            <w:r w:rsidR="74D2BA3F">
              <w:rPr>
                <w:rFonts w:eastAsia="Arial" w:cs="Arial"/>
                <w:sz w:val="22"/>
                <w:szCs w:val="22"/>
                <w:lang w:eastAsia="en-US"/>
              </w:rPr>
              <w:t xml:space="preserve"> </w:t>
            </w:r>
            <w:r w:rsidRPr="003B2996">
              <w:rPr>
                <w:rFonts w:eastAsia="Arial" w:cs="Arial"/>
                <w:sz w:val="22"/>
                <w:szCs w:val="22"/>
                <w:lang w:eastAsia="en-US"/>
              </w:rPr>
              <w:t>in 2020 during the first year of the COVID-19 pandemic.</w:t>
            </w:r>
            <w:r w:rsidR="000D65D8">
              <w:rPr>
                <w:rFonts w:eastAsia="Arial" w:cs="Arial"/>
                <w:sz w:val="22"/>
                <w:szCs w:val="22"/>
                <w:lang w:eastAsia="en-US"/>
              </w:rPr>
              <w:t xml:space="preserve"> </w:t>
            </w:r>
            <w:r w:rsidRPr="003B2996">
              <w:rPr>
                <w:rFonts w:eastAsia="Arial" w:cs="Arial"/>
                <w:sz w:val="22"/>
                <w:szCs w:val="22"/>
                <w:lang w:eastAsia="en-US"/>
              </w:rPr>
              <w:t>In 2020, there were 29,497 gonorrhoea (</w:t>
            </w:r>
            <w:r w:rsidRPr="003B2996">
              <w:rPr>
                <w:rFonts w:eastAsia="Arial" w:cs="Arial"/>
                <w:i/>
                <w:sz w:val="22"/>
                <w:szCs w:val="22"/>
                <w:lang w:eastAsia="en-US"/>
              </w:rPr>
              <w:t>Neisseria gonorrhoeae</w:t>
            </w:r>
            <w:r w:rsidRPr="003B2996">
              <w:rPr>
                <w:rFonts w:eastAsia="Arial" w:cs="Arial"/>
                <w:sz w:val="22"/>
                <w:szCs w:val="22"/>
                <w:lang w:eastAsia="en-US"/>
              </w:rPr>
              <w:t>) notifications in Australia, an increase of 19</w:t>
            </w:r>
            <w:r w:rsidR="000A55A9">
              <w:rPr>
                <w:rFonts w:eastAsia="Arial" w:cs="Arial"/>
                <w:sz w:val="22"/>
                <w:szCs w:val="22"/>
                <w:lang w:eastAsia="en-US"/>
              </w:rPr>
              <w:t>%</w:t>
            </w:r>
            <w:r w:rsidR="00A5229C">
              <w:rPr>
                <w:rFonts w:eastAsia="Arial" w:cs="Arial"/>
                <w:sz w:val="22"/>
                <w:szCs w:val="22"/>
                <w:lang w:eastAsia="en-US"/>
              </w:rPr>
              <w:t xml:space="preserve"> </w:t>
            </w:r>
            <w:r w:rsidRPr="003B2996">
              <w:rPr>
                <w:rFonts w:eastAsia="Arial" w:cs="Arial"/>
                <w:sz w:val="22"/>
                <w:szCs w:val="22"/>
                <w:lang w:eastAsia="en-US"/>
              </w:rPr>
              <w:t>from 23,856 notifications in 2016.</w:t>
            </w:r>
            <w:r w:rsidR="000D65D8">
              <w:rPr>
                <w:rFonts w:eastAsia="Arial" w:cs="Arial"/>
                <w:sz w:val="22"/>
                <w:szCs w:val="22"/>
                <w:lang w:eastAsia="en-US"/>
              </w:rPr>
              <w:t xml:space="preserve"> </w:t>
            </w:r>
            <w:r w:rsidRPr="003B2996">
              <w:rPr>
                <w:rFonts w:eastAsia="Arial" w:cs="Arial"/>
                <w:sz w:val="22"/>
                <w:szCs w:val="22"/>
                <w:lang w:eastAsia="en-US"/>
              </w:rPr>
              <w:t>Infectious syphilis notifications increased by 35.7</w:t>
            </w:r>
            <w:r w:rsidR="000A55A9">
              <w:rPr>
                <w:rFonts w:eastAsia="Arial" w:cs="Arial"/>
                <w:sz w:val="22"/>
                <w:szCs w:val="22"/>
                <w:lang w:eastAsia="en-US"/>
              </w:rPr>
              <w:t>%</w:t>
            </w:r>
            <w:r w:rsidR="00F5434E">
              <w:rPr>
                <w:rFonts w:eastAsia="Arial" w:cs="Arial"/>
                <w:sz w:val="22"/>
                <w:szCs w:val="22"/>
                <w:lang w:eastAsia="en-US"/>
              </w:rPr>
              <w:t xml:space="preserve"> </w:t>
            </w:r>
            <w:r w:rsidRPr="003B2996">
              <w:rPr>
                <w:rFonts w:eastAsia="Arial" w:cs="Arial"/>
                <w:sz w:val="22"/>
                <w:szCs w:val="22"/>
                <w:lang w:eastAsia="en-US"/>
              </w:rPr>
              <w:t>between 2016 and 2020.</w:t>
            </w:r>
            <w:r w:rsidR="008B43F1">
              <w:rPr>
                <w:rFonts w:ascii="ZWAdobeF" w:eastAsia="Arial" w:hAnsi="ZWAdobeF" w:cs="ZWAdobeF"/>
                <w:color w:val="auto"/>
                <w:sz w:val="2"/>
                <w:szCs w:val="2"/>
                <w:lang w:eastAsia="en-US"/>
              </w:rPr>
              <w:t>47F</w:t>
            </w:r>
            <w:r w:rsidRPr="003B2996">
              <w:rPr>
                <w:rStyle w:val="EndnoteReference"/>
                <w:rFonts w:eastAsia="Arial" w:cs="Arial"/>
                <w:sz w:val="22"/>
                <w:szCs w:val="22"/>
                <w:lang w:eastAsia="en-US"/>
              </w:rPr>
              <w:endnoteReference w:id="47"/>
            </w:r>
          </w:p>
        </w:tc>
      </w:tr>
      <w:tr w:rsidR="00676E0E" w:rsidRPr="00676E0E" w14:paraId="02C92CC1" w14:textId="77777777" w:rsidTr="007403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FF9933"/>
              <w:bottom w:val="single" w:sz="18" w:space="0" w:color="FF9933"/>
            </w:tcBorders>
          </w:tcPr>
          <w:p w14:paraId="51339698" w14:textId="77777777" w:rsidR="00676E0E" w:rsidRPr="00676E0E" w:rsidRDefault="00676E0E" w:rsidP="00676E0E">
            <w:pPr>
              <w:spacing w:before="60" w:after="60"/>
              <w:jc w:val="both"/>
              <w:rPr>
                <w:rFonts w:eastAsia="Times New Roman" w:cs="Times New Roman"/>
                <w:b/>
                <w:bCs/>
                <w:sz w:val="22"/>
                <w:szCs w:val="22"/>
                <w:lang w:eastAsia="en-AU"/>
              </w:rPr>
            </w:pPr>
            <w:r w:rsidRPr="00676E0E">
              <w:rPr>
                <w:rFonts w:eastAsia="Times New Roman" w:cs="Times New Roman"/>
                <w:noProof/>
                <w:sz w:val="22"/>
                <w:szCs w:val="22"/>
                <w:lang w:eastAsia="en-AU"/>
              </w:rPr>
              <w:drawing>
                <wp:inline distT="0" distB="0" distL="0" distR="0" wp14:anchorId="5C54C14B" wp14:editId="5176DC38">
                  <wp:extent cx="280800" cy="280800"/>
                  <wp:effectExtent l="0" t="0" r="5080" b="5080"/>
                  <wp:docPr id="17" name="Graphic 17" descr="P383C18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P383C18T3#yIS1">
                            <a:extLst>
                              <a:ext uri="{C183D7F6-B498-43B3-948B-1728B52AA6E4}">
                                <adec:decorative xmlns:adec="http://schemas.microsoft.com/office/drawing/2017/decorative" val="1"/>
                              </a:ext>
                            </a:extLst>
                          </pic:cNvPr>
                          <pic:cNvPicPr/>
                        </pic:nvPicPr>
                        <pic:blipFill>
                          <a:blip r:embed="rId61">
                            <a:extLst>
                              <a:ext uri="{96DAC541-7B7A-43D3-8B79-37D633B846F1}">
                                <asvg:svgBlip xmlns:asvg="http://schemas.microsoft.com/office/drawing/2016/SVG/main" r:embed="rId62"/>
                              </a:ext>
                            </a:extLst>
                          </a:blip>
                          <a:stretch>
                            <a:fillRect/>
                          </a:stretch>
                        </pic:blipFill>
                        <pic:spPr>
                          <a:xfrm>
                            <a:off x="0" y="0"/>
                            <a:ext cx="280800" cy="280800"/>
                          </a:xfrm>
                          <a:prstGeom prst="rect">
                            <a:avLst/>
                          </a:prstGeom>
                        </pic:spPr>
                      </pic:pic>
                    </a:graphicData>
                  </a:graphic>
                </wp:inline>
              </w:drawing>
            </w:r>
          </w:p>
        </w:tc>
        <w:tc>
          <w:tcPr>
            <w:tcW w:w="9072" w:type="dxa"/>
            <w:gridSpan w:val="6"/>
            <w:tcBorders>
              <w:top w:val="single" w:sz="18" w:space="0" w:color="FF9933"/>
              <w:bottom w:val="single" w:sz="18" w:space="0" w:color="FF9933"/>
            </w:tcBorders>
            <w:vAlign w:val="center"/>
          </w:tcPr>
          <w:p w14:paraId="43252354" w14:textId="06851727" w:rsidR="00676E0E" w:rsidRPr="00676E0E" w:rsidRDefault="00775023" w:rsidP="00676E0E">
            <w:pPr>
              <w:spacing w:before="60" w:after="60"/>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2"/>
                <w:szCs w:val="22"/>
                <w:lang w:eastAsia="en-AU"/>
              </w:rPr>
            </w:pPr>
            <w:r w:rsidRPr="00775023">
              <w:rPr>
                <w:rFonts w:eastAsia="Times New Roman" w:cs="Times New Roman"/>
                <w:b/>
                <w:bCs/>
                <w:sz w:val="22"/>
                <w:szCs w:val="22"/>
                <w:lang w:eastAsia="en-AU"/>
              </w:rPr>
              <w:t>Eliminate congenital syphilis</w:t>
            </w:r>
          </w:p>
        </w:tc>
      </w:tr>
      <w:tr w:rsidR="00676E0E" w:rsidRPr="00676E0E" w14:paraId="2F856A74" w14:textId="77777777" w:rsidTr="00740328">
        <w:trPr>
          <w:cnfStyle w:val="000000100000" w:firstRow="0" w:lastRow="0" w:firstColumn="0" w:lastColumn="0" w:oddVBand="0" w:evenVBand="0" w:oddHBand="1" w:evenHBand="0" w:firstRowFirstColumn="0" w:firstRowLastColumn="0" w:lastRowFirstColumn="0" w:lastRowLastColumn="0"/>
          <w:cantSplit/>
          <w:trHeight w:val="724"/>
        </w:trPr>
        <w:tc>
          <w:tcPr>
            <w:cnfStyle w:val="001000000000" w:firstRow="0" w:lastRow="0" w:firstColumn="1" w:lastColumn="0" w:oddVBand="0" w:evenVBand="0" w:oddHBand="0" w:evenHBand="0" w:firstRowFirstColumn="0" w:firstRowLastColumn="0" w:lastRowFirstColumn="0" w:lastRowLastColumn="0"/>
            <w:tcW w:w="9781" w:type="dxa"/>
            <w:gridSpan w:val="7"/>
            <w:tcBorders>
              <w:top w:val="single" w:sz="18" w:space="0" w:color="FF9933"/>
              <w:bottom w:val="single" w:sz="18" w:space="0" w:color="FF9933"/>
            </w:tcBorders>
            <w:vAlign w:val="center"/>
          </w:tcPr>
          <w:p w14:paraId="7AC6966A" w14:textId="476835E6" w:rsidR="00676E0E" w:rsidRPr="00676E0E" w:rsidRDefault="00775023" w:rsidP="003B2996">
            <w:pPr>
              <w:spacing w:before="60" w:after="120"/>
              <w:rPr>
                <w:rFonts w:eastAsia="Times New Roman" w:cs="Times New Roman"/>
                <w:sz w:val="22"/>
                <w:szCs w:val="22"/>
                <w:lang w:eastAsia="en-AU"/>
              </w:rPr>
            </w:pPr>
            <w:r w:rsidRPr="003B2996">
              <w:rPr>
                <w:rFonts w:eastAsia="Arial" w:cs="Arial"/>
                <w:sz w:val="22"/>
                <w:szCs w:val="22"/>
                <w:lang w:eastAsia="en-US"/>
              </w:rPr>
              <w:t>Between 2011 and 2020 there were 58 cases of congenital syphilis notified in Australia and 17 of those were notified in 2020.</w:t>
            </w:r>
            <w:r w:rsidR="008B43F1">
              <w:rPr>
                <w:rFonts w:ascii="ZWAdobeF" w:eastAsia="Arial" w:hAnsi="ZWAdobeF" w:cs="ZWAdobeF"/>
                <w:color w:val="auto"/>
                <w:sz w:val="2"/>
                <w:szCs w:val="2"/>
                <w:lang w:eastAsia="en-US"/>
              </w:rPr>
              <w:t>48F</w:t>
            </w:r>
            <w:r w:rsidRPr="003B2996">
              <w:rPr>
                <w:rStyle w:val="EndnoteReference"/>
                <w:rFonts w:eastAsia="Arial" w:cs="Arial"/>
                <w:sz w:val="22"/>
                <w:szCs w:val="22"/>
                <w:lang w:eastAsia="en-US"/>
              </w:rPr>
              <w:endnoteReference w:id="48"/>
            </w:r>
          </w:p>
        </w:tc>
      </w:tr>
      <w:tr w:rsidR="00676E0E" w:rsidRPr="00676E0E" w14:paraId="208A05F3" w14:textId="77777777" w:rsidTr="007403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FF9933"/>
              <w:bottom w:val="single" w:sz="6" w:space="0" w:color="BFBFBF" w:themeColor="background1" w:themeShade="BF"/>
            </w:tcBorders>
          </w:tcPr>
          <w:p w14:paraId="2C51BDFB" w14:textId="121D3D2A" w:rsidR="00676E0E" w:rsidRPr="00676E0E" w:rsidRDefault="00775023" w:rsidP="00676E0E">
            <w:pPr>
              <w:spacing w:before="60" w:after="60"/>
              <w:jc w:val="both"/>
              <w:rPr>
                <w:rFonts w:eastAsia="Times New Roman" w:cs="Times New Roman"/>
                <w:b/>
                <w:bCs/>
                <w:sz w:val="22"/>
                <w:szCs w:val="22"/>
                <w:lang w:eastAsia="en-AU"/>
              </w:rPr>
            </w:pPr>
            <w:r w:rsidRPr="00676E0E">
              <w:rPr>
                <w:rFonts w:eastAsia="Times New Roman" w:cs="Times New Roman"/>
                <w:noProof/>
                <w:sz w:val="22"/>
                <w:szCs w:val="22"/>
                <w:lang w:eastAsia="en-AU"/>
              </w:rPr>
              <w:drawing>
                <wp:inline distT="0" distB="0" distL="0" distR="0" wp14:anchorId="06C0287D" wp14:editId="57EB381E">
                  <wp:extent cx="280800" cy="280800"/>
                  <wp:effectExtent l="0" t="0" r="5080" b="5080"/>
                  <wp:docPr id="1635929716" name="Graphic 1635929716" descr="P388C21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29716" name="Graphic 1635929716" descr="P388C21T3#yIS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280800" cy="280800"/>
                          </a:xfrm>
                          <a:prstGeom prst="rect">
                            <a:avLst/>
                          </a:prstGeom>
                        </pic:spPr>
                      </pic:pic>
                    </a:graphicData>
                  </a:graphic>
                </wp:inline>
              </w:drawing>
            </w:r>
          </w:p>
        </w:tc>
        <w:tc>
          <w:tcPr>
            <w:tcW w:w="9072" w:type="dxa"/>
            <w:gridSpan w:val="6"/>
            <w:tcBorders>
              <w:top w:val="single" w:sz="18" w:space="0" w:color="FF9933"/>
              <w:bottom w:val="single" w:sz="6" w:space="0" w:color="BFBFBF" w:themeColor="background1" w:themeShade="BF"/>
            </w:tcBorders>
            <w:vAlign w:val="center"/>
          </w:tcPr>
          <w:p w14:paraId="56F217DB" w14:textId="7D63DB3F" w:rsidR="00676E0E" w:rsidRPr="00676E0E" w:rsidRDefault="0086767A" w:rsidP="006A3CB0">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2"/>
                <w:szCs w:val="22"/>
                <w:lang w:eastAsia="en-AU"/>
              </w:rPr>
            </w:pPr>
            <w:r w:rsidRPr="0086767A">
              <w:rPr>
                <w:rFonts w:eastAsia="Times New Roman" w:cs="Times New Roman"/>
                <w:b/>
                <w:bCs/>
                <w:sz w:val="22"/>
                <w:szCs w:val="22"/>
                <w:lang w:eastAsia="en-AU"/>
              </w:rPr>
              <w:t>Minimise the reported experience and expression of stigma in relation to STI</w:t>
            </w:r>
          </w:p>
        </w:tc>
      </w:tr>
      <w:tr w:rsidR="00676E0E" w:rsidRPr="00676E0E" w14:paraId="7760659D" w14:textId="77777777" w:rsidTr="00740328">
        <w:trPr>
          <w:cnfStyle w:val="000000100000" w:firstRow="0" w:lastRow="0" w:firstColumn="0" w:lastColumn="0" w:oddVBand="0" w:evenVBand="0" w:oddHBand="1" w:evenHBand="0" w:firstRowFirstColumn="0" w:firstRowLastColumn="0" w:lastRowFirstColumn="0" w:lastRowLastColumn="0"/>
          <w:cantSplit/>
          <w:trHeight w:val="774"/>
        </w:trPr>
        <w:tc>
          <w:tcPr>
            <w:cnfStyle w:val="001000000000" w:firstRow="0" w:lastRow="0" w:firstColumn="1" w:lastColumn="0" w:oddVBand="0" w:evenVBand="0" w:oddHBand="0" w:evenHBand="0" w:firstRowFirstColumn="0" w:firstRowLastColumn="0" w:lastRowFirstColumn="0" w:lastRowLastColumn="0"/>
            <w:tcW w:w="9781" w:type="dxa"/>
            <w:gridSpan w:val="7"/>
            <w:tcBorders>
              <w:top w:val="single" w:sz="6" w:space="0" w:color="BFBFBF" w:themeColor="background1" w:themeShade="BF"/>
              <w:bottom w:val="single" w:sz="18" w:space="0" w:color="FF9933"/>
            </w:tcBorders>
          </w:tcPr>
          <w:p w14:paraId="6A130980" w14:textId="03E898B1" w:rsidR="00676E0E" w:rsidRPr="00676E0E" w:rsidRDefault="6AF16BBE" w:rsidP="003B2996">
            <w:pPr>
              <w:spacing w:before="60" w:after="120"/>
              <w:rPr>
                <w:rFonts w:eastAsia="Times New Roman" w:cs="Times New Roman"/>
                <w:sz w:val="22"/>
                <w:szCs w:val="22"/>
                <w:lang w:eastAsia="en-AU"/>
              </w:rPr>
            </w:pPr>
            <w:r w:rsidRPr="003B2996">
              <w:rPr>
                <w:rFonts w:eastAsia="Arial" w:cs="Arial"/>
                <w:sz w:val="22"/>
                <w:szCs w:val="22"/>
                <w:lang w:eastAsia="en-US"/>
              </w:rPr>
              <w:t>In a survey of the Australian public, the proportion of participants who indicated they would behave negatively towards other people who had STI</w:t>
            </w:r>
            <w:r w:rsidR="00992B77">
              <w:rPr>
                <w:rFonts w:eastAsia="Arial" w:cs="Arial"/>
                <w:sz w:val="22"/>
                <w:szCs w:val="22"/>
                <w:lang w:eastAsia="en-US"/>
              </w:rPr>
              <w:t xml:space="preserve"> </w:t>
            </w:r>
            <w:r w:rsidRPr="003B2996">
              <w:rPr>
                <w:rFonts w:eastAsia="Arial" w:cs="Arial"/>
                <w:sz w:val="22"/>
                <w:szCs w:val="22"/>
                <w:lang w:eastAsia="en-US"/>
              </w:rPr>
              <w:t>decreased from 58</w:t>
            </w:r>
            <w:r w:rsidR="0FDF2106">
              <w:rPr>
                <w:rFonts w:eastAsia="Arial" w:cs="Arial"/>
                <w:sz w:val="22"/>
                <w:szCs w:val="22"/>
                <w:lang w:eastAsia="en-US"/>
              </w:rPr>
              <w:t>%</w:t>
            </w:r>
            <w:r w:rsidR="76A2D7B7">
              <w:rPr>
                <w:rFonts w:eastAsia="Arial" w:cs="Arial"/>
                <w:sz w:val="22"/>
                <w:szCs w:val="22"/>
                <w:lang w:eastAsia="en-US"/>
              </w:rPr>
              <w:t xml:space="preserve"> </w:t>
            </w:r>
            <w:r w:rsidRPr="003B2996">
              <w:rPr>
                <w:rFonts w:eastAsia="Arial" w:cs="Arial"/>
                <w:sz w:val="22"/>
                <w:szCs w:val="22"/>
                <w:lang w:eastAsia="en-US"/>
              </w:rPr>
              <w:t>in 2017–18 to 42</w:t>
            </w:r>
            <w:r w:rsidR="0FDF2106">
              <w:rPr>
                <w:rFonts w:eastAsia="Arial" w:cs="Arial"/>
                <w:sz w:val="22"/>
                <w:szCs w:val="22"/>
                <w:lang w:eastAsia="en-US"/>
              </w:rPr>
              <w:t>%</w:t>
            </w:r>
            <w:r w:rsidRPr="003B2996">
              <w:rPr>
                <w:rFonts w:eastAsia="Arial" w:cs="Arial"/>
                <w:sz w:val="22"/>
                <w:szCs w:val="22"/>
                <w:lang w:eastAsia="en-US"/>
              </w:rPr>
              <w:t xml:space="preserve"> in 2020.</w:t>
            </w:r>
            <w:r w:rsidR="00775023" w:rsidRPr="003B2996">
              <w:rPr>
                <w:rFonts w:eastAsia="Arial" w:cs="Arial"/>
                <w:sz w:val="22"/>
                <w:szCs w:val="22"/>
                <w:lang w:eastAsia="en-US"/>
              </w:rPr>
              <w:fldChar w:fldCharType="begin"/>
            </w:r>
            <w:r w:rsidR="00775023" w:rsidRPr="003B2996">
              <w:rPr>
                <w:rFonts w:eastAsia="Arial" w:cs="Arial"/>
                <w:sz w:val="22"/>
                <w:szCs w:val="22"/>
                <w:lang w:eastAsia="en-US"/>
              </w:rPr>
              <w:instrText xml:space="preserve"> ADDIN ZOTERO_ITEM CSL_CITATION {"citationID":"mtQjtw4d","properties":{"formattedCitation":"\\super 15\\nosupersub{}","plainCitation":"15","noteIndex":0},"citationItems":[{"id":1322,"uris":["http://zotero.org/groups/4457130/items/D5HG9XIA"],"itemData":{"id":1322,"type":"report","event-place":"UNSW, Sydney","publisher":"UNSW Centre for Social Research in Health","publisher-place":"UNSW, Sydney","title":"Annual Report of Trends in Behaviour 2021: HIV and STIs in Australia.","URL":"http://unsworks.unsw.edu.au/fapi/datastream/unsworks:77139/bin8807976f-5af2-46c4-aee2-1eb3f8ac7e74?view=true&amp;xy=01","author":[{"family":"Mao","given":"Limin"},{"family":"Broady","given":"Tim"},{"family":"Holt","given":"M"},{"family":"Newman","given":"C"},{"family":"Treloar","given":"Carla"}],"accessed":{"date-parts":[["2022",3,16]]},"issued":{"date-parts":[["2021"]]}}}],"schema":"https://github.com/citation-style-language/schema/raw/master/csl-citation.json"} </w:instrText>
            </w:r>
            <w:r w:rsidR="00775023" w:rsidRPr="003B2996">
              <w:rPr>
                <w:rFonts w:eastAsia="Arial" w:cs="Arial"/>
                <w:sz w:val="22"/>
                <w:szCs w:val="22"/>
                <w:lang w:eastAsia="en-US"/>
              </w:rPr>
              <w:fldChar w:fldCharType="end"/>
            </w:r>
            <w:r w:rsidR="008B43F1">
              <w:rPr>
                <w:rFonts w:ascii="ZWAdobeF" w:eastAsia="Arial" w:hAnsi="ZWAdobeF" w:cs="ZWAdobeF"/>
                <w:color w:val="auto"/>
                <w:sz w:val="2"/>
                <w:szCs w:val="2"/>
                <w:lang w:eastAsia="en-US"/>
              </w:rPr>
              <w:t>49F</w:t>
            </w:r>
            <w:r w:rsidR="00775023" w:rsidRPr="003B2996">
              <w:rPr>
                <w:rStyle w:val="EndnoteReference"/>
                <w:rFonts w:eastAsia="Arial" w:cs="Arial"/>
                <w:color w:val="auto"/>
                <w:sz w:val="22"/>
                <w:szCs w:val="22"/>
                <w:lang w:val="en-GB" w:eastAsia="en-US"/>
              </w:rPr>
              <w:endnoteReference w:id="49"/>
            </w:r>
          </w:p>
        </w:tc>
      </w:tr>
    </w:tbl>
    <w:p w14:paraId="14ED8F3C" w14:textId="0D367381" w:rsidR="002D4373" w:rsidRDefault="005F16D5" w:rsidP="007C5513">
      <w:pPr>
        <w:pStyle w:val="BodyText"/>
        <w:spacing w:after="0"/>
        <w:jc w:val="both"/>
        <w:rPr>
          <w:rStyle w:val="Heading1Char"/>
          <w:sz w:val="22"/>
          <w:szCs w:val="22"/>
        </w:rPr>
      </w:pPr>
      <w:r>
        <w:rPr>
          <w:rFonts w:cs="Arial"/>
          <w:color w:val="000000" w:themeColor="text1"/>
          <w:sz w:val="22"/>
          <w:szCs w:val="22"/>
        </w:rPr>
        <w:br/>
      </w:r>
      <w:r w:rsidR="007C5513" w:rsidRPr="00442D9E">
        <w:rPr>
          <w:rFonts w:cs="Arial"/>
          <w:color w:val="000000" w:themeColor="text1"/>
          <w:sz w:val="22"/>
          <w:szCs w:val="22"/>
        </w:rPr>
        <w:t xml:space="preserve">The limited progress against some targets of the previous strategy highlights areas where more action must be taken to end STI transmission as a public health concern in Australia. </w:t>
      </w:r>
      <w:r w:rsidR="007C5513" w:rsidRPr="00442D9E">
        <w:rPr>
          <w:rFonts w:eastAsia="Roboto-Light" w:cs="Arial"/>
          <w:color w:val="000000" w:themeColor="text1"/>
          <w:sz w:val="22"/>
          <w:szCs w:val="22"/>
        </w:rPr>
        <w:t xml:space="preserve">The COVID-19 pandemic </w:t>
      </w:r>
      <w:r w:rsidR="007C5513" w:rsidRPr="00442D9E">
        <w:rPr>
          <w:rStyle w:val="BodyTextChar"/>
          <w:rFonts w:ascii="Arial" w:hAnsi="Arial" w:cs="Arial"/>
          <w:color w:val="000000" w:themeColor="text1"/>
          <w:sz w:val="22"/>
          <w:szCs w:val="22"/>
        </w:rPr>
        <w:t>was a barrier to achieving aspects of the national BBV and STI strategies, particularly around testing.</w:t>
      </w:r>
      <w:r w:rsidR="008B43F1">
        <w:rPr>
          <w:rStyle w:val="BodyTextChar"/>
          <w:rFonts w:ascii="ZWAdobeF" w:hAnsi="ZWAdobeF" w:cs="ZWAdobeF"/>
          <w:sz w:val="2"/>
          <w:szCs w:val="2"/>
        </w:rPr>
        <w:t>50F</w:t>
      </w:r>
      <w:r w:rsidR="007C5513" w:rsidRPr="00442D9E">
        <w:rPr>
          <w:rStyle w:val="EndnoteReference"/>
          <w:rFonts w:cs="Arial"/>
          <w:color w:val="000000" w:themeColor="text1"/>
          <w:sz w:val="22"/>
          <w:szCs w:val="22"/>
        </w:rPr>
        <w:endnoteReference w:id="50"/>
      </w:r>
      <w:r w:rsidR="007C5513" w:rsidRPr="00442D9E">
        <w:rPr>
          <w:rFonts w:cs="Arial"/>
          <w:color w:val="000000" w:themeColor="text1"/>
          <w:sz w:val="22"/>
          <w:szCs w:val="22"/>
          <w:vertAlign w:val="superscript"/>
        </w:rPr>
        <w:t xml:space="preserve"> </w:t>
      </w:r>
      <w:bookmarkStart w:id="48" w:name="_Toc128136592"/>
      <w:bookmarkStart w:id="49" w:name="_Toc129870684"/>
      <w:bookmarkStart w:id="50" w:name="_Toc129870805"/>
      <w:bookmarkStart w:id="51" w:name="_Toc129871242"/>
      <w:r w:rsidR="007C5513" w:rsidRPr="00C222C3">
        <w:rPr>
          <w:rStyle w:val="Heading1Char"/>
          <w:b w:val="0"/>
          <w:bCs w:val="0"/>
          <w:sz w:val="22"/>
          <w:szCs w:val="22"/>
        </w:rPr>
        <w:t>Efforts are needed in antimicrobial stewardship and to offer integrated services so that opportunities are not missed to offer sexual health services to all who need them.</w:t>
      </w:r>
      <w:bookmarkEnd w:id="48"/>
      <w:bookmarkEnd w:id="49"/>
      <w:bookmarkEnd w:id="50"/>
      <w:bookmarkEnd w:id="51"/>
      <w:r>
        <w:br/>
      </w:r>
    </w:p>
    <w:p w14:paraId="027CFED2" w14:textId="019126F6" w:rsidR="00031E79" w:rsidRPr="00D17F26" w:rsidRDefault="00031E79" w:rsidP="0025299A">
      <w:pPr>
        <w:pStyle w:val="Heading1"/>
      </w:pPr>
      <w:bookmarkStart w:id="52" w:name="_Toc150160957"/>
      <w:bookmarkStart w:id="53" w:name="_Toc163737183"/>
      <w:r w:rsidRPr="00442D9E">
        <w:lastRenderedPageBreak/>
        <w:t>Measuring progress</w:t>
      </w:r>
      <w:bookmarkEnd w:id="45"/>
      <w:bookmarkEnd w:id="46"/>
      <w:bookmarkEnd w:id="52"/>
      <w:bookmarkEnd w:id="53"/>
    </w:p>
    <w:p w14:paraId="10487657" w14:textId="75431ED4" w:rsidR="00031E79" w:rsidRPr="00442D9E" w:rsidRDefault="00031E79" w:rsidP="004A310A">
      <w:pPr>
        <w:jc w:val="both"/>
        <w:rPr>
          <w:rFonts w:cs="Arial"/>
          <w:color w:val="000000" w:themeColor="text1"/>
          <w:sz w:val="22"/>
          <w:szCs w:val="22"/>
        </w:rPr>
      </w:pPr>
      <w:r w:rsidRPr="00442D9E">
        <w:rPr>
          <w:rFonts w:cs="Arial"/>
          <w:color w:val="000000" w:themeColor="text1"/>
          <w:sz w:val="22"/>
          <w:szCs w:val="22"/>
        </w:rPr>
        <w:t>This strategy covers the period, 202</w:t>
      </w:r>
      <w:r w:rsidR="00DE63A8">
        <w:rPr>
          <w:rFonts w:cs="Arial"/>
          <w:color w:val="000000" w:themeColor="text1"/>
          <w:sz w:val="22"/>
          <w:szCs w:val="22"/>
        </w:rPr>
        <w:t>4</w:t>
      </w:r>
      <w:r w:rsidRPr="00442D9E">
        <w:rPr>
          <w:rFonts w:cs="Arial"/>
          <w:color w:val="000000" w:themeColor="text1"/>
          <w:sz w:val="22"/>
          <w:szCs w:val="22"/>
        </w:rPr>
        <w:t xml:space="preserve">–2030. </w:t>
      </w:r>
      <w:r w:rsidR="003D4409" w:rsidRPr="00442D9E">
        <w:rPr>
          <w:rFonts w:cs="Arial"/>
          <w:color w:val="000000" w:themeColor="text1"/>
          <w:sz w:val="22"/>
          <w:szCs w:val="22"/>
        </w:rPr>
        <w:t>This strategy includes specific areas of focus across different STI, populations and the health system. By 20</w:t>
      </w:r>
      <w:r w:rsidR="003D4409">
        <w:rPr>
          <w:rFonts w:cs="Arial"/>
          <w:color w:val="000000" w:themeColor="text1"/>
          <w:sz w:val="22"/>
          <w:szCs w:val="22"/>
        </w:rPr>
        <w:t>30</w:t>
      </w:r>
      <w:r w:rsidR="003D4409" w:rsidRPr="00442D9E">
        <w:rPr>
          <w:rFonts w:cs="Arial"/>
          <w:color w:val="000000" w:themeColor="text1"/>
          <w:sz w:val="22"/>
          <w:szCs w:val="22"/>
        </w:rPr>
        <w:t xml:space="preserve">, across all priority areas, the following </w:t>
      </w:r>
      <w:r w:rsidR="00BA549D">
        <w:rPr>
          <w:rFonts w:cs="Arial"/>
          <w:color w:val="000000" w:themeColor="text1"/>
          <w:sz w:val="22"/>
          <w:szCs w:val="22"/>
        </w:rPr>
        <w:t>goals</w:t>
      </w:r>
      <w:r w:rsidR="003D4409" w:rsidRPr="00442D9E">
        <w:rPr>
          <w:rFonts w:cs="Arial"/>
          <w:color w:val="000000" w:themeColor="text1"/>
          <w:sz w:val="22"/>
          <w:szCs w:val="22"/>
        </w:rPr>
        <w:t xml:space="preserve"> and targets must be the focus to drive efforts and results</w:t>
      </w:r>
      <w:r w:rsidR="00BA549D">
        <w:rPr>
          <w:rFonts w:cs="Arial"/>
          <w:color w:val="000000" w:themeColor="text1"/>
          <w:sz w:val="22"/>
          <w:szCs w:val="22"/>
        </w:rPr>
        <w:t>.</w:t>
      </w:r>
      <w:r w:rsidR="00BA549D" w:rsidDel="00BA549D">
        <w:rPr>
          <w:rStyle w:val="CommentReference"/>
        </w:rPr>
        <w:t xml:space="preserve"> </w:t>
      </w:r>
    </w:p>
    <w:p w14:paraId="46F095FD" w14:textId="77777777" w:rsidR="00031E79" w:rsidRPr="00442D9E" w:rsidRDefault="00031E79" w:rsidP="004A310A">
      <w:pPr>
        <w:jc w:val="both"/>
        <w:rPr>
          <w:rFonts w:cs="Arial"/>
          <w:color w:val="000000" w:themeColor="text1"/>
          <w:sz w:val="22"/>
          <w:szCs w:val="22"/>
        </w:rPr>
      </w:pPr>
    </w:p>
    <w:p w14:paraId="01A62919" w14:textId="72375113" w:rsidR="00031E79" w:rsidRPr="00D17F26" w:rsidRDefault="00031E79" w:rsidP="008B43F1">
      <w:pPr>
        <w:pStyle w:val="Heading2"/>
        <w:numPr>
          <w:ilvl w:val="1"/>
          <w:numId w:val="21"/>
        </w:numPr>
        <w:rPr>
          <w:rFonts w:ascii="Arial" w:hAnsi="Arial" w:cs="Arial"/>
        </w:rPr>
      </w:pPr>
      <w:bookmarkStart w:id="54" w:name="_Toc138151563"/>
      <w:bookmarkStart w:id="55" w:name="_Toc138173776"/>
      <w:bookmarkStart w:id="56" w:name="_Toc150160958"/>
      <w:bookmarkStart w:id="57" w:name="_Toc163737184"/>
      <w:r w:rsidRPr="00442D9E">
        <w:rPr>
          <w:rFonts w:ascii="Arial" w:hAnsi="Arial" w:cs="Arial"/>
        </w:rPr>
        <w:t>Goals</w:t>
      </w:r>
      <w:bookmarkEnd w:id="54"/>
      <w:bookmarkEnd w:id="55"/>
      <w:bookmarkEnd w:id="56"/>
      <w:bookmarkEnd w:id="57"/>
      <w:r w:rsidRPr="00442D9E">
        <w:rPr>
          <w:rFonts w:ascii="Arial" w:hAnsi="Arial" w:cs="Arial"/>
        </w:rPr>
        <w:t xml:space="preserve"> </w:t>
      </w:r>
      <w:r w:rsidR="00AB4CCB">
        <w:rPr>
          <w:rFonts w:ascii="Arial" w:hAnsi="Arial" w:cs="Arial"/>
        </w:rPr>
        <w:t>and Targets</w:t>
      </w:r>
    </w:p>
    <w:p w14:paraId="5E8359A7" w14:textId="084A5032" w:rsidR="00031E79" w:rsidRPr="00442D9E" w:rsidRDefault="00031E79" w:rsidP="004A310A">
      <w:pPr>
        <w:jc w:val="both"/>
        <w:rPr>
          <w:rFonts w:cs="Arial"/>
          <w:color w:val="000000" w:themeColor="text1"/>
          <w:sz w:val="22"/>
          <w:szCs w:val="22"/>
        </w:rPr>
      </w:pPr>
      <w:r w:rsidRPr="00442D9E">
        <w:rPr>
          <w:rFonts w:cs="Arial"/>
          <w:color w:val="000000" w:themeColor="text1"/>
          <w:sz w:val="22"/>
          <w:szCs w:val="22"/>
        </w:rPr>
        <w:t xml:space="preserve">This strategy is ambitious and takes a systems approach to improving Australia’s response to STI and enhancing sexual health for all. Five goals underpin this strategy, and they are supported by the key areas for action outlined in </w:t>
      </w:r>
      <w:hyperlink w:anchor="_Priority_areas_for" w:history="1">
        <w:r w:rsidRPr="007A6608">
          <w:rPr>
            <w:rStyle w:val="Hyperlink"/>
            <w:rFonts w:cs="Arial"/>
            <w:sz w:val="22"/>
            <w:szCs w:val="22"/>
          </w:rPr>
          <w:t>Section 8.</w:t>
        </w:r>
      </w:hyperlink>
    </w:p>
    <w:p w14:paraId="70135700" w14:textId="77777777" w:rsidR="00031E79" w:rsidRPr="00442D9E" w:rsidRDefault="00031E79" w:rsidP="004A310A">
      <w:pPr>
        <w:jc w:val="both"/>
        <w:rPr>
          <w:rFonts w:cs="Arial"/>
          <w:color w:val="000000" w:themeColor="text1"/>
          <w:sz w:val="22"/>
          <w:szCs w:val="22"/>
        </w:rPr>
      </w:pPr>
    </w:p>
    <w:p w14:paraId="08133B70" w14:textId="05CAB280" w:rsidR="00031E79" w:rsidRPr="00806652" w:rsidRDefault="00031E79" w:rsidP="003B7036">
      <w:pPr>
        <w:spacing w:after="120"/>
        <w:rPr>
          <w:rFonts w:cs="Arial"/>
          <w:spacing w:val="3"/>
          <w:sz w:val="22"/>
          <w:szCs w:val="22"/>
        </w:rPr>
      </w:pPr>
      <w:r w:rsidRPr="00442D9E">
        <w:rPr>
          <w:rFonts w:cs="Arial"/>
          <w:sz w:val="22"/>
          <w:szCs w:val="22"/>
        </w:rPr>
        <w:t>The</w:t>
      </w:r>
      <w:r w:rsidRPr="00442D9E">
        <w:rPr>
          <w:rFonts w:cs="Arial"/>
          <w:spacing w:val="-11"/>
          <w:sz w:val="22"/>
          <w:szCs w:val="22"/>
        </w:rPr>
        <w:t xml:space="preserve"> </w:t>
      </w:r>
      <w:r w:rsidRPr="00442D9E">
        <w:rPr>
          <w:rFonts w:cs="Arial"/>
          <w:sz w:val="22"/>
          <w:szCs w:val="22"/>
        </w:rPr>
        <w:t>goals</w:t>
      </w:r>
      <w:r w:rsidRPr="00442D9E">
        <w:rPr>
          <w:rFonts w:cs="Arial"/>
          <w:spacing w:val="15"/>
          <w:sz w:val="22"/>
          <w:szCs w:val="22"/>
        </w:rPr>
        <w:t xml:space="preserve"> </w:t>
      </w:r>
      <w:r w:rsidRPr="00442D9E">
        <w:rPr>
          <w:rFonts w:cs="Arial"/>
          <w:sz w:val="22"/>
          <w:szCs w:val="22"/>
        </w:rPr>
        <w:t>of</w:t>
      </w:r>
      <w:r w:rsidRPr="00442D9E">
        <w:rPr>
          <w:rFonts w:cs="Arial"/>
          <w:spacing w:val="6"/>
          <w:sz w:val="22"/>
          <w:szCs w:val="22"/>
        </w:rPr>
        <w:t xml:space="preserve"> </w:t>
      </w:r>
      <w:r w:rsidRPr="00442D9E">
        <w:rPr>
          <w:rFonts w:cs="Arial"/>
          <w:sz w:val="22"/>
          <w:szCs w:val="22"/>
        </w:rPr>
        <w:t>the National STI</w:t>
      </w:r>
      <w:r w:rsidRPr="00442D9E">
        <w:rPr>
          <w:rFonts w:cs="Arial"/>
          <w:spacing w:val="-13"/>
          <w:sz w:val="22"/>
          <w:szCs w:val="22"/>
        </w:rPr>
        <w:t xml:space="preserve"> </w:t>
      </w:r>
      <w:r w:rsidRPr="00442D9E">
        <w:rPr>
          <w:rFonts w:cs="Arial"/>
          <w:sz w:val="22"/>
          <w:szCs w:val="22"/>
        </w:rPr>
        <w:t>Strategy</w:t>
      </w:r>
      <w:r w:rsidRPr="00442D9E">
        <w:rPr>
          <w:rFonts w:cs="Arial"/>
          <w:spacing w:val="3"/>
          <w:sz w:val="22"/>
          <w:szCs w:val="22"/>
        </w:rPr>
        <w:t xml:space="preserve"> 202</w:t>
      </w:r>
      <w:r w:rsidR="00806652">
        <w:rPr>
          <w:rFonts w:cs="Arial"/>
          <w:spacing w:val="3"/>
          <w:sz w:val="22"/>
          <w:szCs w:val="22"/>
        </w:rPr>
        <w:t>4</w:t>
      </w:r>
      <w:r w:rsidRPr="00442D9E">
        <w:rPr>
          <w:rFonts w:cs="Arial"/>
          <w:spacing w:val="3"/>
          <w:sz w:val="22"/>
          <w:szCs w:val="22"/>
        </w:rPr>
        <w:t xml:space="preserve">-2030 </w:t>
      </w:r>
      <w:r w:rsidRPr="00442D9E">
        <w:rPr>
          <w:rFonts w:cs="Arial"/>
          <w:sz w:val="22"/>
          <w:szCs w:val="22"/>
        </w:rPr>
        <w:t>are</w:t>
      </w:r>
      <w:r w:rsidRPr="00442D9E">
        <w:rPr>
          <w:rFonts w:cs="Arial"/>
          <w:spacing w:val="-10"/>
          <w:sz w:val="22"/>
          <w:szCs w:val="22"/>
        </w:rPr>
        <w:t xml:space="preserve"> </w:t>
      </w:r>
      <w:r w:rsidRPr="00442D9E">
        <w:rPr>
          <w:rFonts w:cs="Arial"/>
          <w:spacing w:val="-5"/>
          <w:sz w:val="22"/>
          <w:szCs w:val="22"/>
        </w:rPr>
        <w:t>to:</w:t>
      </w:r>
    </w:p>
    <w:tbl>
      <w:tblPr>
        <w:tblStyle w:val="TableGrid"/>
        <w:tblW w:w="9735" w:type="dxa"/>
        <w:tblBorders>
          <w:top w:val="single" w:sz="18" w:space="0" w:color="F7941D"/>
          <w:left w:val="none" w:sz="0" w:space="0" w:color="auto"/>
          <w:bottom w:val="single" w:sz="18" w:space="0" w:color="F7941D"/>
          <w:right w:val="none" w:sz="0" w:space="0" w:color="auto"/>
          <w:insideH w:val="single" w:sz="8" w:space="0" w:color="F7941D"/>
          <w:insideV w:val="none" w:sz="0" w:space="0" w:color="auto"/>
        </w:tblBorders>
        <w:tblLayout w:type="fixed"/>
        <w:tblLook w:val="04A0" w:firstRow="1" w:lastRow="0" w:firstColumn="1" w:lastColumn="0" w:noHBand="0" w:noVBand="1"/>
      </w:tblPr>
      <w:tblGrid>
        <w:gridCol w:w="993"/>
        <w:gridCol w:w="8742"/>
      </w:tblGrid>
      <w:tr w:rsidR="00C26C9A" w:rsidRPr="00442D9E" w14:paraId="29542BB9" w14:textId="77777777" w:rsidTr="003B2996">
        <w:tc>
          <w:tcPr>
            <w:tcW w:w="993" w:type="dxa"/>
            <w:hideMark/>
          </w:tcPr>
          <w:p w14:paraId="3168BC2A" w14:textId="210F6F46" w:rsidR="00031E79" w:rsidRPr="00442D9E" w:rsidRDefault="005727EF">
            <w:pPr>
              <w:spacing w:before="60" w:after="60"/>
              <w:jc w:val="both"/>
              <w:textAlignment w:val="baseline"/>
              <w:rPr>
                <w:rFonts w:cs="Arial"/>
                <w:b/>
                <w:bCs/>
                <w:color w:val="000000"/>
                <w:sz w:val="22"/>
                <w:szCs w:val="22"/>
                <w:shd w:val="clear" w:color="auto" w:fill="FFFFFF"/>
              </w:rPr>
            </w:pPr>
            <w:r>
              <w:rPr>
                <w:noProof/>
              </w:rPr>
              <w:drawing>
                <wp:inline distT="0" distB="0" distL="0" distR="0" wp14:anchorId="682C9596" wp14:editId="75D4C6B0">
                  <wp:extent cx="432000" cy="414209"/>
                  <wp:effectExtent l="0" t="0" r="6350" b="5080"/>
                  <wp:docPr id="1209436510" name="Graphic 1209436510" descr="P401C1T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36510" name="Graphic 1209436510" descr="P401C1T4#yIS1">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32000" cy="414209"/>
                          </a:xfrm>
                          <a:prstGeom prst="rect">
                            <a:avLst/>
                          </a:prstGeom>
                        </pic:spPr>
                      </pic:pic>
                    </a:graphicData>
                  </a:graphic>
                </wp:inline>
              </w:drawing>
            </w:r>
          </w:p>
        </w:tc>
        <w:tc>
          <w:tcPr>
            <w:tcW w:w="8742" w:type="dxa"/>
            <w:vAlign w:val="center"/>
            <w:hideMark/>
          </w:tcPr>
          <w:p w14:paraId="1A076902" w14:textId="2B02AE97" w:rsidR="00031E79" w:rsidRPr="00BE58B6" w:rsidRDefault="00031E79" w:rsidP="00BE58B6">
            <w:pPr>
              <w:spacing w:before="60" w:after="60"/>
              <w:textAlignment w:val="baseline"/>
              <w:rPr>
                <w:rFonts w:cs="Arial"/>
              </w:rPr>
            </w:pPr>
            <w:r w:rsidRPr="00BE58B6">
              <w:rPr>
                <w:rFonts w:cs="Arial"/>
                <w:color w:val="000000"/>
                <w:sz w:val="22"/>
                <w:szCs w:val="22"/>
                <w:shd w:val="clear" w:color="auto" w:fill="FFFFFF"/>
              </w:rPr>
              <w:t xml:space="preserve">Reduce morbidity and complications from STI in Australia </w:t>
            </w:r>
          </w:p>
        </w:tc>
      </w:tr>
      <w:tr w:rsidR="00C26C9A" w:rsidRPr="00442D9E" w14:paraId="02142167" w14:textId="77777777" w:rsidTr="003B2996">
        <w:tc>
          <w:tcPr>
            <w:tcW w:w="993" w:type="dxa"/>
          </w:tcPr>
          <w:p w14:paraId="64DBEAC9" w14:textId="03A9601D" w:rsidR="00031E79" w:rsidRPr="00442D9E" w:rsidRDefault="2BDDDB8F">
            <w:pPr>
              <w:spacing w:before="60" w:after="60"/>
              <w:jc w:val="both"/>
              <w:textAlignment w:val="baseline"/>
              <w:rPr>
                <w:rFonts w:cs="Arial"/>
                <w:b/>
                <w:bCs/>
                <w:noProof/>
                <w:color w:val="36424A"/>
                <w:sz w:val="22"/>
                <w:szCs w:val="22"/>
                <w:shd w:val="clear" w:color="auto" w:fill="FFFFFF"/>
                <w14:ligatures w14:val="standardContextual"/>
              </w:rPr>
            </w:pPr>
            <w:bookmarkStart w:id="58" w:name="_Hlk143592600"/>
            <w:r>
              <w:rPr>
                <w:noProof/>
              </w:rPr>
              <w:drawing>
                <wp:inline distT="0" distB="0" distL="0" distR="0" wp14:anchorId="13D8E439" wp14:editId="7ED74E70">
                  <wp:extent cx="439672" cy="360000"/>
                  <wp:effectExtent l="0" t="0" r="0" b="2540"/>
                  <wp:docPr id="1208391006" name="Graphic 1208391006" descr="P404C3T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91006" name="Graphic 1208391006" descr="P404C3T4#yIS1">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39672" cy="360000"/>
                          </a:xfrm>
                          <a:prstGeom prst="rect">
                            <a:avLst/>
                          </a:prstGeom>
                        </pic:spPr>
                      </pic:pic>
                    </a:graphicData>
                  </a:graphic>
                </wp:inline>
              </w:drawing>
            </w:r>
          </w:p>
        </w:tc>
        <w:tc>
          <w:tcPr>
            <w:tcW w:w="8742" w:type="dxa"/>
            <w:vAlign w:val="center"/>
          </w:tcPr>
          <w:p w14:paraId="63CB1C93" w14:textId="77777777" w:rsidR="00031E79" w:rsidRPr="00BE58B6" w:rsidRDefault="00031E79" w:rsidP="00BE58B6">
            <w:pPr>
              <w:spacing w:before="60" w:after="60"/>
              <w:textAlignment w:val="baseline"/>
              <w:rPr>
                <w:rFonts w:cs="Arial"/>
                <w:color w:val="000000" w:themeColor="text1"/>
                <w:sz w:val="22"/>
                <w:szCs w:val="22"/>
              </w:rPr>
            </w:pPr>
            <w:r w:rsidRPr="00BE58B6">
              <w:rPr>
                <w:rFonts w:cs="Arial"/>
                <w:color w:val="000000" w:themeColor="text1"/>
                <w:sz w:val="22"/>
                <w:szCs w:val="22"/>
              </w:rPr>
              <w:t>Integrate person-centred systems for better sexual and reproductive health for all</w:t>
            </w:r>
          </w:p>
        </w:tc>
      </w:tr>
      <w:tr w:rsidR="00C26C9A" w:rsidRPr="00442D9E" w14:paraId="54344B5B" w14:textId="77777777" w:rsidTr="003B2996">
        <w:tc>
          <w:tcPr>
            <w:tcW w:w="993" w:type="dxa"/>
            <w:hideMark/>
          </w:tcPr>
          <w:p w14:paraId="59521268" w14:textId="367A5B83" w:rsidR="00031E79" w:rsidRPr="00442D9E" w:rsidRDefault="00C26C9A">
            <w:pPr>
              <w:spacing w:before="60" w:after="60"/>
              <w:jc w:val="both"/>
              <w:textAlignment w:val="baseline"/>
              <w:rPr>
                <w:rFonts w:cs="Arial"/>
                <w:b/>
                <w:bCs/>
                <w:color w:val="36424A"/>
                <w:sz w:val="22"/>
                <w:szCs w:val="22"/>
                <w:shd w:val="clear" w:color="auto" w:fill="FFFFFF"/>
              </w:rPr>
            </w:pPr>
            <w:r>
              <w:rPr>
                <w:noProof/>
              </w:rPr>
              <w:drawing>
                <wp:inline distT="0" distB="0" distL="0" distR="0" wp14:anchorId="0F156F02" wp14:editId="24E90C4F">
                  <wp:extent cx="368479" cy="435600"/>
                  <wp:effectExtent l="0" t="0" r="0" b="3175"/>
                  <wp:docPr id="1664884525" name="Graphic 1664884525" descr="P407C5T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84525" name="Graphic 1664884525" descr="P407C5T4#yIS1">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68479" cy="435600"/>
                          </a:xfrm>
                          <a:prstGeom prst="rect">
                            <a:avLst/>
                          </a:prstGeom>
                        </pic:spPr>
                      </pic:pic>
                    </a:graphicData>
                  </a:graphic>
                </wp:inline>
              </w:drawing>
            </w:r>
          </w:p>
        </w:tc>
        <w:tc>
          <w:tcPr>
            <w:tcW w:w="8742" w:type="dxa"/>
            <w:vAlign w:val="center"/>
            <w:hideMark/>
          </w:tcPr>
          <w:p w14:paraId="3C98FD25" w14:textId="2DC5EB91" w:rsidR="00031E79" w:rsidRPr="00BE58B6" w:rsidRDefault="00031E79" w:rsidP="00BE58B6">
            <w:pPr>
              <w:spacing w:before="60" w:after="60"/>
              <w:textAlignment w:val="baseline"/>
              <w:rPr>
                <w:rFonts w:cs="Arial"/>
                <w:color w:val="36424A"/>
                <w:sz w:val="22"/>
                <w:szCs w:val="22"/>
                <w:shd w:val="clear" w:color="auto" w:fill="FFFFFF"/>
              </w:rPr>
            </w:pPr>
            <w:r w:rsidRPr="00BE58B6">
              <w:rPr>
                <w:rFonts w:cs="Arial"/>
                <w:color w:val="000000" w:themeColor="text1"/>
                <w:sz w:val="22"/>
                <w:szCs w:val="22"/>
              </w:rPr>
              <w:t>Increase awareness and understanding of STI as part of sexual and reproductive health for all in Australia</w:t>
            </w:r>
          </w:p>
        </w:tc>
      </w:tr>
      <w:tr w:rsidR="00C26C9A" w:rsidRPr="00442D9E" w14:paraId="366087A9" w14:textId="77777777" w:rsidTr="003B2996">
        <w:trPr>
          <w:trHeight w:val="833"/>
        </w:trPr>
        <w:tc>
          <w:tcPr>
            <w:tcW w:w="993" w:type="dxa"/>
            <w:hideMark/>
          </w:tcPr>
          <w:p w14:paraId="150C1FD5" w14:textId="6B50B4F6" w:rsidR="00031E79" w:rsidRPr="00442D9E" w:rsidRDefault="00530980">
            <w:pPr>
              <w:spacing w:before="60" w:after="60"/>
              <w:jc w:val="both"/>
              <w:textAlignment w:val="baseline"/>
              <w:rPr>
                <w:rFonts w:cs="Arial"/>
                <w:b/>
                <w:bCs/>
                <w:color w:val="000000"/>
                <w:sz w:val="22"/>
                <w:szCs w:val="22"/>
                <w:shd w:val="clear" w:color="auto" w:fill="FFFFFF"/>
              </w:rPr>
            </w:pPr>
            <w:r>
              <w:rPr>
                <w:noProof/>
              </w:rPr>
              <w:drawing>
                <wp:inline distT="0" distB="0" distL="0" distR="0" wp14:anchorId="123B3F06" wp14:editId="1B8A02A6">
                  <wp:extent cx="371917" cy="385200"/>
                  <wp:effectExtent l="0" t="0" r="9525" b="0"/>
                  <wp:docPr id="1309711484" name="Graphic 1309711484" descr="P410C7T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11484" name="Graphic 1309711484" descr="P410C7T4#yIS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917" cy="385200"/>
                          </a:xfrm>
                          <a:prstGeom prst="rect">
                            <a:avLst/>
                          </a:prstGeom>
                        </pic:spPr>
                      </pic:pic>
                    </a:graphicData>
                  </a:graphic>
                </wp:inline>
              </w:drawing>
            </w:r>
          </w:p>
        </w:tc>
        <w:tc>
          <w:tcPr>
            <w:tcW w:w="8742" w:type="dxa"/>
            <w:vAlign w:val="center"/>
            <w:hideMark/>
          </w:tcPr>
          <w:p w14:paraId="0D2DF018" w14:textId="4E7A8C6C" w:rsidR="00031E79" w:rsidRPr="00BE58B6" w:rsidRDefault="00031E79" w:rsidP="00BE58B6">
            <w:pPr>
              <w:spacing w:before="60" w:after="60"/>
              <w:textAlignment w:val="baseline"/>
              <w:rPr>
                <w:rFonts w:cs="Arial"/>
                <w:color w:val="000000"/>
                <w:sz w:val="22"/>
                <w:szCs w:val="22"/>
                <w:shd w:val="clear" w:color="auto" w:fill="FFFFFF"/>
              </w:rPr>
            </w:pPr>
            <w:r w:rsidRPr="00BE58B6">
              <w:rPr>
                <w:rFonts w:cs="Arial"/>
                <w:color w:val="000000"/>
                <w:sz w:val="22"/>
                <w:szCs w:val="22"/>
                <w:shd w:val="clear" w:color="auto" w:fill="FFFFFF"/>
              </w:rPr>
              <w:t>Eliminate the negative impact of stigma</w:t>
            </w:r>
            <w:r w:rsidR="00A5229C">
              <w:rPr>
                <w:rFonts w:cs="Arial"/>
                <w:color w:val="000000"/>
                <w:sz w:val="22"/>
                <w:szCs w:val="22"/>
                <w:shd w:val="clear" w:color="auto" w:fill="FFFFFF"/>
              </w:rPr>
              <w:t xml:space="preserve"> and</w:t>
            </w:r>
            <w:r w:rsidRPr="00BE58B6">
              <w:rPr>
                <w:rFonts w:cs="Arial"/>
                <w:color w:val="000000"/>
                <w:sz w:val="22"/>
                <w:szCs w:val="22"/>
                <w:shd w:val="clear" w:color="auto" w:fill="FFFFFF"/>
              </w:rPr>
              <w:t xml:space="preserve"> discrimination, and legal and human rights issues on people’s health</w:t>
            </w:r>
          </w:p>
        </w:tc>
      </w:tr>
      <w:tr w:rsidR="00C26C9A" w:rsidRPr="00442D9E" w14:paraId="74E8A799" w14:textId="77777777" w:rsidTr="003B2996">
        <w:tc>
          <w:tcPr>
            <w:tcW w:w="993" w:type="dxa"/>
          </w:tcPr>
          <w:p w14:paraId="3041280D" w14:textId="3B891176" w:rsidR="00031E79" w:rsidRPr="00442D9E" w:rsidRDefault="001971D1">
            <w:pPr>
              <w:spacing w:before="60" w:after="60"/>
              <w:jc w:val="both"/>
              <w:textAlignment w:val="baseline"/>
              <w:rPr>
                <w:rFonts w:cs="Arial"/>
                <w:b/>
                <w:bCs/>
                <w:noProof/>
                <w:sz w:val="22"/>
                <w:szCs w:val="22"/>
              </w:rPr>
            </w:pPr>
            <w:r>
              <w:rPr>
                <w:noProof/>
              </w:rPr>
              <w:drawing>
                <wp:inline distT="0" distB="0" distL="0" distR="0" wp14:anchorId="146FBC27" wp14:editId="18946CE1">
                  <wp:extent cx="433857" cy="435600"/>
                  <wp:effectExtent l="0" t="0" r="4445" b="3175"/>
                  <wp:docPr id="1244197926" name="Graphic 1244197926" descr="P413C9T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97926" name="Graphic 1244197926" descr="P413C9T4#yIS1">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33857" cy="435600"/>
                          </a:xfrm>
                          <a:prstGeom prst="rect">
                            <a:avLst/>
                          </a:prstGeom>
                        </pic:spPr>
                      </pic:pic>
                    </a:graphicData>
                  </a:graphic>
                </wp:inline>
              </w:drawing>
            </w:r>
          </w:p>
        </w:tc>
        <w:tc>
          <w:tcPr>
            <w:tcW w:w="8742" w:type="dxa"/>
            <w:vAlign w:val="center"/>
          </w:tcPr>
          <w:p w14:paraId="4EAA4367" w14:textId="20F0AF33" w:rsidR="00031E79" w:rsidRPr="00BE58B6" w:rsidRDefault="00031E79" w:rsidP="00BE58B6">
            <w:pPr>
              <w:spacing w:before="60" w:after="60"/>
              <w:textAlignment w:val="baseline"/>
              <w:rPr>
                <w:rFonts w:cs="Arial"/>
                <w:color w:val="000000" w:themeColor="text1"/>
                <w:sz w:val="22"/>
                <w:szCs w:val="22"/>
              </w:rPr>
            </w:pPr>
            <w:r w:rsidRPr="00BE58B6">
              <w:rPr>
                <w:rFonts w:cs="Arial"/>
                <w:color w:val="000000" w:themeColor="text1"/>
                <w:sz w:val="22"/>
                <w:szCs w:val="22"/>
              </w:rPr>
              <w:t xml:space="preserve">Enhance research </w:t>
            </w:r>
            <w:r w:rsidR="001416EA">
              <w:rPr>
                <w:rFonts w:cs="Arial"/>
                <w:color w:val="000000" w:themeColor="text1"/>
                <w:sz w:val="22"/>
                <w:szCs w:val="22"/>
              </w:rPr>
              <w:t>for</w:t>
            </w:r>
            <w:r w:rsidRPr="00BE58B6">
              <w:rPr>
                <w:rFonts w:cs="Arial"/>
                <w:color w:val="000000" w:themeColor="text1"/>
                <w:sz w:val="22"/>
                <w:szCs w:val="22"/>
              </w:rPr>
              <w:t xml:space="preserve"> STI</w:t>
            </w:r>
          </w:p>
        </w:tc>
      </w:tr>
      <w:bookmarkEnd w:id="58"/>
    </w:tbl>
    <w:p w14:paraId="34D2E8E6" w14:textId="77777777" w:rsidR="00673E93" w:rsidRDefault="00673E93">
      <w:pPr>
        <w:rPr>
          <w:rFonts w:cs="Arial"/>
          <w:sz w:val="22"/>
          <w:szCs w:val="22"/>
        </w:rPr>
      </w:pPr>
      <w:r>
        <w:rPr>
          <w:rFonts w:cs="Arial"/>
          <w:sz w:val="22"/>
          <w:szCs w:val="22"/>
        </w:rPr>
        <w:br w:type="page"/>
      </w:r>
    </w:p>
    <w:p w14:paraId="6CE08F8D" w14:textId="50CF1E86" w:rsidR="00475C9B" w:rsidRDefault="00475C9B" w:rsidP="004A310A">
      <w:pPr>
        <w:jc w:val="both"/>
        <w:rPr>
          <w:rFonts w:cs="Arial"/>
          <w:sz w:val="22"/>
          <w:szCs w:val="22"/>
        </w:rPr>
      </w:pPr>
      <w:r w:rsidRPr="00442D9E">
        <w:rPr>
          <w:rFonts w:cs="Arial"/>
          <w:sz w:val="22"/>
          <w:szCs w:val="22"/>
        </w:rPr>
        <w:lastRenderedPageBreak/>
        <w:t>Implementing the key areas for action</w:t>
      </w:r>
      <w:r w:rsidRPr="00442D9E" w:rsidDel="00807F18">
        <w:rPr>
          <w:rFonts w:cs="Arial"/>
          <w:sz w:val="22"/>
          <w:szCs w:val="22"/>
        </w:rPr>
        <w:t xml:space="preserve"> </w:t>
      </w:r>
      <w:r w:rsidR="003C3CED">
        <w:rPr>
          <w:rFonts w:cs="Arial"/>
          <w:sz w:val="22"/>
          <w:szCs w:val="22"/>
        </w:rPr>
        <w:t xml:space="preserve">outlined in </w:t>
      </w:r>
      <w:hyperlink w:anchor="_Priority_areas_for" w:history="1">
        <w:r w:rsidR="003C3CED" w:rsidRPr="007A6608">
          <w:rPr>
            <w:rStyle w:val="Hyperlink"/>
            <w:rFonts w:cs="Arial"/>
            <w:sz w:val="22"/>
            <w:szCs w:val="22"/>
          </w:rPr>
          <w:t>Section 8</w:t>
        </w:r>
      </w:hyperlink>
      <w:r w:rsidRPr="00442D9E">
        <w:rPr>
          <w:rFonts w:cs="Arial"/>
          <w:sz w:val="22"/>
          <w:szCs w:val="22"/>
        </w:rPr>
        <w:t xml:space="preserve"> will </w:t>
      </w:r>
      <w:r>
        <w:rPr>
          <w:rFonts w:cs="Arial"/>
          <w:sz w:val="22"/>
          <w:szCs w:val="22"/>
        </w:rPr>
        <w:t>be measured through the following targets:</w:t>
      </w:r>
    </w:p>
    <w:p w14:paraId="544D213D" w14:textId="77777777" w:rsidR="00673E93" w:rsidRPr="00442D9E" w:rsidRDefault="00673E93" w:rsidP="004A310A">
      <w:pPr>
        <w:jc w:val="both"/>
        <w:rPr>
          <w:rFonts w:cs="Arial"/>
          <w:color w:val="000000" w:themeColor="text1"/>
          <w:sz w:val="22"/>
          <w:szCs w:val="22"/>
        </w:rPr>
      </w:pPr>
    </w:p>
    <w:tbl>
      <w:tblPr>
        <w:tblW w:w="963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1960"/>
        <w:gridCol w:w="648"/>
        <w:gridCol w:w="7031"/>
      </w:tblGrid>
      <w:tr w:rsidR="00673E93" w:rsidRPr="00AB4CCB" w14:paraId="17F46A2B" w14:textId="77777777" w:rsidTr="00CF3E48">
        <w:trPr>
          <w:cantSplit/>
          <w:trHeight w:val="607"/>
          <w:tblHeader/>
        </w:trPr>
        <w:tc>
          <w:tcPr>
            <w:tcW w:w="1960" w:type="dxa"/>
            <w:tcBorders>
              <w:top w:val="nil"/>
              <w:left w:val="nil"/>
              <w:bottom w:val="nil"/>
              <w:right w:val="nil"/>
            </w:tcBorders>
            <w:shd w:val="clear" w:color="auto" w:fill="DB6413"/>
            <w:vAlign w:val="center"/>
          </w:tcPr>
          <w:p w14:paraId="429FE67A" w14:textId="77777777" w:rsidR="00673E93" w:rsidRPr="00AB4CCB" w:rsidRDefault="00673E93" w:rsidP="00CF3E48">
            <w:pPr>
              <w:spacing w:before="60" w:after="60"/>
              <w:jc w:val="both"/>
              <w:textAlignment w:val="baseline"/>
              <w:rPr>
                <w:rFonts w:eastAsia="Times New Roman" w:cs="Arial"/>
                <w:color w:val="FFFFFF"/>
                <w:sz w:val="22"/>
                <w:szCs w:val="22"/>
                <w:lang w:eastAsia="en-AU"/>
              </w:rPr>
            </w:pPr>
            <w:r w:rsidRPr="00AB4CCB">
              <w:rPr>
                <w:rFonts w:eastAsia="Times New Roman" w:cs="Arial"/>
                <w:b/>
                <w:bCs/>
                <w:color w:val="FFFFFF"/>
                <w:sz w:val="22"/>
                <w:szCs w:val="22"/>
                <w:lang w:eastAsia="en-AU"/>
              </w:rPr>
              <w:t>Key indicator</w:t>
            </w:r>
          </w:p>
        </w:tc>
        <w:tc>
          <w:tcPr>
            <w:tcW w:w="648" w:type="dxa"/>
            <w:tcBorders>
              <w:top w:val="nil"/>
              <w:left w:val="nil"/>
              <w:bottom w:val="nil"/>
              <w:right w:val="nil"/>
            </w:tcBorders>
            <w:shd w:val="clear" w:color="auto" w:fill="F7941D"/>
            <w:vAlign w:val="center"/>
          </w:tcPr>
          <w:p w14:paraId="0B59BDCD" w14:textId="77777777" w:rsidR="00673E93" w:rsidRPr="00AB4CCB" w:rsidRDefault="00673E93" w:rsidP="00CF3E48">
            <w:pPr>
              <w:spacing w:before="60" w:after="60"/>
              <w:jc w:val="both"/>
              <w:textAlignment w:val="baseline"/>
              <w:rPr>
                <w:rFonts w:eastAsia="Times New Roman" w:cs="Arial"/>
                <w:sz w:val="22"/>
                <w:szCs w:val="22"/>
                <w:lang w:eastAsia="en-AU"/>
              </w:rPr>
            </w:pPr>
            <w:r w:rsidRPr="00AB4CCB">
              <w:rPr>
                <w:noProof/>
              </w:rPr>
              <w:drawing>
                <wp:inline distT="0" distB="0" distL="0" distR="0" wp14:anchorId="0ED3F093" wp14:editId="1121ADA9">
                  <wp:extent cx="251376" cy="252000"/>
                  <wp:effectExtent l="0" t="0" r="0" b="0"/>
                  <wp:docPr id="487609272" name="Picture 487609272" descr="P420C2T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09272" name="Picture 487609272" descr="P420C2T5#yIS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1376" cy="252000"/>
                          </a:xfrm>
                          <a:prstGeom prst="rect">
                            <a:avLst/>
                          </a:prstGeom>
                        </pic:spPr>
                      </pic:pic>
                    </a:graphicData>
                  </a:graphic>
                </wp:inline>
              </w:drawing>
            </w:r>
            <w:r w:rsidRPr="00AB4CCB">
              <w:rPr>
                <w:rFonts w:cs="Arial"/>
                <w:b/>
                <w:color w:val="FFFFFF"/>
                <w:sz w:val="22"/>
                <w:szCs w:val="22"/>
                <w:lang w:eastAsia="en-US"/>
              </w:rPr>
              <w:t xml:space="preserve"> </w:t>
            </w:r>
          </w:p>
        </w:tc>
        <w:tc>
          <w:tcPr>
            <w:tcW w:w="7031" w:type="dxa"/>
            <w:tcBorders>
              <w:top w:val="nil"/>
              <w:left w:val="nil"/>
              <w:bottom w:val="nil"/>
              <w:right w:val="nil"/>
            </w:tcBorders>
            <w:shd w:val="clear" w:color="auto" w:fill="F7941D"/>
            <w:vAlign w:val="center"/>
          </w:tcPr>
          <w:p w14:paraId="0CD30F08" w14:textId="77777777" w:rsidR="00673E93" w:rsidRPr="00AB4CCB" w:rsidRDefault="00673E93" w:rsidP="00CF3E48">
            <w:pPr>
              <w:spacing w:before="60" w:after="60"/>
              <w:jc w:val="both"/>
              <w:textAlignment w:val="baseline"/>
              <w:rPr>
                <w:rFonts w:eastAsia="Times New Roman" w:cs="Arial"/>
                <w:b/>
                <w:sz w:val="22"/>
                <w:szCs w:val="22"/>
                <w:lang w:eastAsia="en-AU"/>
              </w:rPr>
            </w:pPr>
            <w:r w:rsidRPr="00AB4CCB">
              <w:rPr>
                <w:rFonts w:cs="Arial"/>
                <w:b/>
                <w:bCs/>
                <w:color w:val="000000"/>
                <w:sz w:val="22"/>
                <w:szCs w:val="22"/>
                <w:lang w:eastAsia="en-US"/>
              </w:rPr>
              <w:t>2030 Targets</w:t>
            </w:r>
          </w:p>
        </w:tc>
      </w:tr>
      <w:tr w:rsidR="00673E93" w:rsidRPr="00AB4CCB" w14:paraId="49480F4B" w14:textId="77777777" w:rsidTr="00CF3E48">
        <w:trPr>
          <w:cantSplit/>
          <w:trHeight w:val="1322"/>
        </w:trPr>
        <w:tc>
          <w:tcPr>
            <w:tcW w:w="1960" w:type="dxa"/>
            <w:tcBorders>
              <w:top w:val="nil"/>
              <w:left w:val="nil"/>
              <w:bottom w:val="single" w:sz="18" w:space="0" w:color="F7941D"/>
              <w:right w:val="nil"/>
            </w:tcBorders>
            <w:shd w:val="clear" w:color="auto" w:fill="F8F8F8"/>
          </w:tcPr>
          <w:p w14:paraId="1699B94F" w14:textId="77777777" w:rsidR="00673E93" w:rsidRPr="00AB4CCB" w:rsidRDefault="00673E93" w:rsidP="00CF3E48">
            <w:pPr>
              <w:spacing w:before="60" w:after="60"/>
              <w:textAlignment w:val="baseline"/>
              <w:rPr>
                <w:rFonts w:eastAsia="Times New Roman" w:cs="Arial"/>
                <w:b/>
                <w:bCs/>
                <w:lang w:eastAsia="en-AU"/>
              </w:rPr>
            </w:pPr>
            <w:r>
              <w:rPr>
                <w:rFonts w:eastAsia="Times New Roman" w:cs="Arial"/>
                <w:b/>
                <w:bCs/>
                <w:lang w:eastAsia="en-AU"/>
              </w:rPr>
              <w:t>Integrated Primary Care</w:t>
            </w:r>
          </w:p>
          <w:p w14:paraId="2266BC54" w14:textId="77777777" w:rsidR="00673E93" w:rsidRPr="00AB4CCB" w:rsidRDefault="00673E93" w:rsidP="00CF3E48">
            <w:pPr>
              <w:spacing w:before="60" w:after="60"/>
              <w:textAlignment w:val="baseline"/>
              <w:rPr>
                <w:rFonts w:eastAsia="Times New Roman" w:cs="Arial"/>
                <w:b/>
                <w:bCs/>
                <w:lang w:eastAsia="en-AU"/>
              </w:rPr>
            </w:pPr>
            <w:r w:rsidRPr="00AB4CCB">
              <w:rPr>
                <w:noProof/>
              </w:rPr>
              <w:drawing>
                <wp:inline distT="0" distB="0" distL="0" distR="0" wp14:anchorId="4A41D3F2" wp14:editId="540FEF88">
                  <wp:extent cx="669851" cy="642264"/>
                  <wp:effectExtent l="0" t="0" r="0" b="5715"/>
                  <wp:docPr id="1265702452" name="Graphic 1265702452" descr="P424C4T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02452" name="Graphic 1265702452" descr="P424C4T5#yIS1">
                            <a:extLst>
                              <a:ext uri="{C183D7F6-B498-43B3-948B-1728B52AA6E4}">
                                <adec:decorative xmlns:adec="http://schemas.microsoft.com/office/drawing/2017/decorative" val="1"/>
                              </a:ext>
                            </a:extLst>
                          </pic:cNvPr>
                          <pic:cNvPicPr/>
                        </pic:nvPicPr>
                        <pic:blipFill>
                          <a:blip r:embed="rId65" cstate="print">
                            <a:grayscl/>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74595" cy="646813"/>
                          </a:xfrm>
                          <a:prstGeom prst="rect">
                            <a:avLst/>
                          </a:prstGeom>
                        </pic:spPr>
                      </pic:pic>
                    </a:graphicData>
                  </a:graphic>
                </wp:inline>
              </w:drawing>
            </w:r>
          </w:p>
        </w:tc>
        <w:tc>
          <w:tcPr>
            <w:tcW w:w="7679" w:type="dxa"/>
            <w:gridSpan w:val="2"/>
            <w:tcBorders>
              <w:top w:val="nil"/>
              <w:left w:val="nil"/>
              <w:bottom w:val="single" w:sz="18" w:space="0" w:color="F7941D"/>
              <w:right w:val="nil"/>
            </w:tcBorders>
            <w:shd w:val="clear" w:color="auto" w:fill="auto"/>
          </w:tcPr>
          <w:p w14:paraId="31D6717C" w14:textId="195F1D1C" w:rsidR="00143697" w:rsidRPr="00143697" w:rsidRDefault="00673E93" w:rsidP="008B43F1">
            <w:pPr>
              <w:numPr>
                <w:ilvl w:val="0"/>
                <w:numId w:val="29"/>
              </w:numPr>
              <w:spacing w:before="60" w:after="60"/>
              <w:contextualSpacing/>
              <w:textAlignment w:val="baseline"/>
              <w:rPr>
                <w:rFonts w:eastAsia="Times New Roman" w:cs="Arial"/>
                <w:sz w:val="22"/>
                <w:szCs w:val="22"/>
                <w:lang w:eastAsia="en-AU"/>
              </w:rPr>
            </w:pPr>
            <w:r w:rsidRPr="00AB4CCB">
              <w:rPr>
                <w:rFonts w:eastAsia="Times New Roman" w:cs="Arial"/>
                <w:sz w:val="22"/>
                <w:szCs w:val="22"/>
                <w:lang w:eastAsia="en-AU"/>
              </w:rPr>
              <w:t>Increase in the number of people</w:t>
            </w:r>
            <w:r w:rsidR="00143697">
              <w:rPr>
                <w:rFonts w:eastAsia="Times New Roman" w:cs="Arial"/>
                <w:sz w:val="22"/>
                <w:szCs w:val="22"/>
                <w:lang w:eastAsia="en-AU"/>
              </w:rPr>
              <w:t>, including priority populations,</w:t>
            </w:r>
            <w:r w:rsidRPr="00AB4CCB">
              <w:rPr>
                <w:rFonts w:eastAsia="Times New Roman" w:cs="Arial"/>
                <w:sz w:val="22"/>
                <w:szCs w:val="22"/>
                <w:lang w:eastAsia="en-AU"/>
              </w:rPr>
              <w:t xml:space="preserve"> tested for STI via no cost and lower cost GP appointments</w:t>
            </w:r>
            <w:r w:rsidR="00143697">
              <w:rPr>
                <w:rFonts w:eastAsia="Times New Roman" w:cs="Arial"/>
                <w:sz w:val="22"/>
                <w:szCs w:val="22"/>
                <w:lang w:eastAsia="en-AU"/>
              </w:rPr>
              <w:t xml:space="preserve"> and</w:t>
            </w:r>
            <w:r w:rsidR="00143697" w:rsidRPr="00143697">
              <w:rPr>
                <w:rFonts w:eastAsia="Times New Roman" w:cs="Arial"/>
                <w:sz w:val="22"/>
                <w:szCs w:val="22"/>
                <w:lang w:eastAsia="en-AU"/>
              </w:rPr>
              <w:t xml:space="preserve"> in accordance with guidelines.</w:t>
            </w:r>
          </w:p>
          <w:p w14:paraId="58C4285C" w14:textId="77777777" w:rsidR="00673E93" w:rsidRPr="00E00294" w:rsidRDefault="00673E93" w:rsidP="008B43F1">
            <w:pPr>
              <w:numPr>
                <w:ilvl w:val="0"/>
                <w:numId w:val="29"/>
              </w:numPr>
              <w:contextualSpacing/>
              <w:rPr>
                <w:rFonts w:cs="Arial"/>
                <w:sz w:val="22"/>
                <w:szCs w:val="22"/>
              </w:rPr>
            </w:pPr>
            <w:r w:rsidRPr="00AB4CCB">
              <w:rPr>
                <w:rFonts w:cs="Arial"/>
                <w:sz w:val="22"/>
                <w:szCs w:val="22"/>
              </w:rPr>
              <w:t>Increase number of sexual health services providing care under expanded scope of practice arrangements by 2030.</w:t>
            </w:r>
          </w:p>
          <w:p w14:paraId="784D37C5" w14:textId="77777777" w:rsidR="00673E93" w:rsidRPr="00AF4834" w:rsidRDefault="00673E93" w:rsidP="00CF3E48">
            <w:pPr>
              <w:spacing w:before="60" w:after="60"/>
              <w:ind w:left="360"/>
              <w:contextualSpacing/>
              <w:textAlignment w:val="baseline"/>
              <w:rPr>
                <w:rFonts w:eastAsia="Times New Roman" w:cs="Arial"/>
                <w:sz w:val="22"/>
                <w:szCs w:val="22"/>
                <w:lang w:eastAsia="en-AU"/>
              </w:rPr>
            </w:pPr>
          </w:p>
          <w:p w14:paraId="4561856A" w14:textId="77777777" w:rsidR="00673E93" w:rsidRPr="00AB4CCB" w:rsidRDefault="00673E93" w:rsidP="00CF3E48">
            <w:pPr>
              <w:spacing w:before="120" w:after="120"/>
              <w:ind w:left="360"/>
              <w:contextualSpacing/>
              <w:jc w:val="both"/>
              <w:rPr>
                <w:rFonts w:eastAsia="Times New Roman" w:cs="Arial"/>
                <w:sz w:val="22"/>
                <w:szCs w:val="22"/>
                <w:lang w:eastAsia="en-AU"/>
              </w:rPr>
            </w:pPr>
          </w:p>
        </w:tc>
      </w:tr>
      <w:tr w:rsidR="00673E93" w:rsidRPr="00AB4CCB" w14:paraId="2FFC7448" w14:textId="77777777" w:rsidTr="00CF3E48">
        <w:trPr>
          <w:cantSplit/>
          <w:trHeight w:val="1322"/>
        </w:trPr>
        <w:tc>
          <w:tcPr>
            <w:tcW w:w="1960" w:type="dxa"/>
            <w:tcBorders>
              <w:top w:val="single" w:sz="18" w:space="0" w:color="F7941D"/>
              <w:left w:val="nil"/>
              <w:bottom w:val="single" w:sz="18" w:space="0" w:color="F7941D"/>
              <w:right w:val="nil"/>
            </w:tcBorders>
            <w:shd w:val="clear" w:color="auto" w:fill="F2F2F2"/>
            <w:vAlign w:val="center"/>
          </w:tcPr>
          <w:p w14:paraId="6C7F9DA4" w14:textId="77777777" w:rsidR="00673E93" w:rsidRPr="00AB4CCB" w:rsidRDefault="00673E93" w:rsidP="00CF3E48">
            <w:pPr>
              <w:spacing w:before="60" w:after="60"/>
              <w:textAlignment w:val="baseline"/>
              <w:rPr>
                <w:rFonts w:eastAsia="Times New Roman" w:cs="Arial"/>
                <w:b/>
                <w:bCs/>
                <w:color w:val="000000"/>
                <w:lang w:eastAsia="en-AU"/>
              </w:rPr>
            </w:pPr>
            <w:r w:rsidRPr="00AB4CCB">
              <w:rPr>
                <w:rFonts w:eastAsia="Times New Roman" w:cs="Arial"/>
                <w:b/>
                <w:bCs/>
                <w:color w:val="000000"/>
                <w:lang w:eastAsia="en-AU"/>
              </w:rPr>
              <w:t>Workforce</w:t>
            </w:r>
          </w:p>
          <w:p w14:paraId="76CF7DE8" w14:textId="77777777" w:rsidR="00673E93" w:rsidRPr="00AB4CCB" w:rsidRDefault="00673E93" w:rsidP="00CF3E48">
            <w:pPr>
              <w:spacing w:before="60" w:after="60"/>
              <w:textAlignment w:val="baseline"/>
              <w:rPr>
                <w:rFonts w:eastAsia="Times New Roman" w:cs="Arial"/>
                <w:b/>
                <w:bCs/>
                <w:color w:val="000000"/>
                <w:lang w:eastAsia="en-AU"/>
              </w:rPr>
            </w:pPr>
          </w:p>
          <w:p w14:paraId="111E2BB0" w14:textId="77777777" w:rsidR="00673E93" w:rsidRDefault="00673E93" w:rsidP="00CF3E48">
            <w:pPr>
              <w:spacing w:before="60" w:after="60"/>
              <w:textAlignment w:val="baseline"/>
              <w:rPr>
                <w:rFonts w:eastAsia="Times New Roman" w:cs="Arial"/>
                <w:b/>
                <w:bCs/>
                <w:lang w:eastAsia="en-AU"/>
              </w:rPr>
            </w:pPr>
            <w:r w:rsidRPr="00AB4CCB">
              <w:rPr>
                <w:b/>
                <w:bCs/>
                <w:noProof/>
              </w:rPr>
              <w:drawing>
                <wp:inline distT="0" distB="0" distL="0" distR="0" wp14:anchorId="1A37EC9D" wp14:editId="6E7D1108">
                  <wp:extent cx="720000" cy="720000"/>
                  <wp:effectExtent l="0" t="0" r="0" b="0"/>
                  <wp:docPr id="261962496" name="Graphic 261962496" descr="P432C6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62496" name="Graphic 261962496" descr="P432C6T5#yIS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20000" cy="720000"/>
                          </a:xfrm>
                          <a:prstGeom prst="rect">
                            <a:avLst/>
                          </a:prstGeom>
                        </pic:spPr>
                      </pic:pic>
                    </a:graphicData>
                  </a:graphic>
                </wp:inline>
              </w:drawing>
            </w:r>
          </w:p>
        </w:tc>
        <w:tc>
          <w:tcPr>
            <w:tcW w:w="7679" w:type="dxa"/>
            <w:gridSpan w:val="2"/>
            <w:tcBorders>
              <w:top w:val="single" w:sz="18" w:space="0" w:color="F7941D"/>
              <w:left w:val="nil"/>
              <w:bottom w:val="single" w:sz="18" w:space="0" w:color="F7941D"/>
              <w:right w:val="nil"/>
            </w:tcBorders>
            <w:shd w:val="clear" w:color="auto" w:fill="auto"/>
          </w:tcPr>
          <w:p w14:paraId="4D7EC2E6" w14:textId="77777777" w:rsidR="00673E93" w:rsidRPr="00AB4CCB" w:rsidRDefault="00673E93" w:rsidP="008B43F1">
            <w:pPr>
              <w:numPr>
                <w:ilvl w:val="0"/>
                <w:numId w:val="30"/>
              </w:numPr>
              <w:contextualSpacing/>
              <w:rPr>
                <w:sz w:val="22"/>
                <w:szCs w:val="22"/>
              </w:rPr>
            </w:pPr>
            <w:r w:rsidRPr="00AB4CCB">
              <w:rPr>
                <w:sz w:val="22"/>
                <w:szCs w:val="22"/>
              </w:rPr>
              <w:t>Increase in non-clinical staff being able to offer STI POCT in remote Aboriginal communities</w:t>
            </w:r>
          </w:p>
          <w:p w14:paraId="1307C1BB" w14:textId="77777777" w:rsidR="00673E93" w:rsidRPr="00AB4CCB" w:rsidRDefault="00673E93" w:rsidP="008B43F1">
            <w:pPr>
              <w:numPr>
                <w:ilvl w:val="0"/>
                <w:numId w:val="30"/>
              </w:numPr>
              <w:contextualSpacing/>
              <w:rPr>
                <w:rFonts w:cs="Arial"/>
                <w:sz w:val="22"/>
                <w:szCs w:val="22"/>
              </w:rPr>
            </w:pPr>
            <w:r w:rsidRPr="00AB4CCB">
              <w:rPr>
                <w:rFonts w:cs="Arial"/>
                <w:sz w:val="22"/>
                <w:szCs w:val="22"/>
              </w:rPr>
              <w:t>Increase the STI knowledge and capacity to offer services by primary health and community-based healthcare providers, nurses, midwives, and pharmacists through in-service training.</w:t>
            </w:r>
          </w:p>
          <w:p w14:paraId="2B9FE40C" w14:textId="77777777" w:rsidR="00673E93" w:rsidRPr="00AB4CCB" w:rsidRDefault="00673E93" w:rsidP="008B43F1">
            <w:pPr>
              <w:numPr>
                <w:ilvl w:val="0"/>
                <w:numId w:val="29"/>
              </w:numPr>
              <w:spacing w:before="120" w:after="120"/>
              <w:contextualSpacing/>
              <w:jc w:val="both"/>
              <w:rPr>
                <w:rFonts w:cs="Arial"/>
                <w:color w:val="000000"/>
                <w:sz w:val="22"/>
                <w:szCs w:val="22"/>
              </w:rPr>
            </w:pPr>
            <w:r w:rsidRPr="00AB4CCB">
              <w:rPr>
                <w:rFonts w:cs="Arial"/>
                <w:sz w:val="22"/>
                <w:szCs w:val="22"/>
              </w:rPr>
              <w:t>Sexual health, STI information and awareness of stigma is better embedded within pre-service training and medical school curricula and other health-related fields (such as pharmacy, nursing, and midwifery).</w:t>
            </w:r>
          </w:p>
        </w:tc>
      </w:tr>
      <w:tr w:rsidR="00673E93" w:rsidRPr="00AB4CCB" w14:paraId="616400EE" w14:textId="77777777" w:rsidTr="00CF3E48">
        <w:trPr>
          <w:cantSplit/>
          <w:trHeight w:val="1322"/>
        </w:trPr>
        <w:tc>
          <w:tcPr>
            <w:tcW w:w="1960" w:type="dxa"/>
            <w:tcBorders>
              <w:top w:val="single" w:sz="18" w:space="0" w:color="F7941D"/>
              <w:left w:val="nil"/>
              <w:bottom w:val="single" w:sz="18" w:space="0" w:color="F7941D"/>
              <w:right w:val="nil"/>
            </w:tcBorders>
            <w:shd w:val="clear" w:color="auto" w:fill="F8F8F8"/>
            <w:vAlign w:val="center"/>
          </w:tcPr>
          <w:p w14:paraId="0305B26C" w14:textId="77777777" w:rsidR="00673E93" w:rsidRPr="00AB4CCB" w:rsidRDefault="00673E93" w:rsidP="00CF3E48">
            <w:pPr>
              <w:spacing w:before="60" w:after="60"/>
              <w:textAlignment w:val="baseline"/>
              <w:rPr>
                <w:rFonts w:eastAsia="Times New Roman" w:cs="Arial"/>
                <w:b/>
                <w:bCs/>
                <w:color w:val="000000"/>
                <w:lang w:eastAsia="en-AU"/>
              </w:rPr>
            </w:pPr>
            <w:r w:rsidRPr="00AB4CCB">
              <w:rPr>
                <w:rFonts w:eastAsia="Times New Roman" w:cs="Arial"/>
                <w:b/>
                <w:bCs/>
                <w:color w:val="000000"/>
                <w:lang w:eastAsia="en-AU"/>
              </w:rPr>
              <w:t>Education and awareness</w:t>
            </w:r>
          </w:p>
          <w:p w14:paraId="0C9A788F" w14:textId="77777777" w:rsidR="00673E93" w:rsidRPr="00AB4CCB" w:rsidRDefault="00673E93" w:rsidP="00CF3E48">
            <w:pPr>
              <w:spacing w:before="60" w:after="60"/>
              <w:textAlignment w:val="baseline"/>
              <w:rPr>
                <w:rFonts w:eastAsia="Times New Roman" w:cs="Arial"/>
                <w:b/>
                <w:bCs/>
                <w:color w:val="000000"/>
                <w:lang w:eastAsia="en-AU"/>
              </w:rPr>
            </w:pPr>
            <w:r w:rsidRPr="00AB4CCB">
              <w:rPr>
                <w:b/>
                <w:bCs/>
                <w:noProof/>
              </w:rPr>
              <w:drawing>
                <wp:inline distT="0" distB="0" distL="0" distR="0" wp14:anchorId="4F03637B" wp14:editId="500C3E06">
                  <wp:extent cx="720000" cy="720000"/>
                  <wp:effectExtent l="0" t="0" r="0" b="0"/>
                  <wp:docPr id="565558832" name="Graphic 565558832" descr="P438C8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58832" name="Graphic 565558832" descr="P438C8T5#yIS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20000" cy="720000"/>
                          </a:xfrm>
                          <a:prstGeom prst="rect">
                            <a:avLst/>
                          </a:prstGeom>
                        </pic:spPr>
                      </pic:pic>
                    </a:graphicData>
                  </a:graphic>
                </wp:inline>
              </w:drawing>
            </w:r>
          </w:p>
        </w:tc>
        <w:tc>
          <w:tcPr>
            <w:tcW w:w="7679" w:type="dxa"/>
            <w:gridSpan w:val="2"/>
            <w:tcBorders>
              <w:top w:val="single" w:sz="18" w:space="0" w:color="F7941D"/>
              <w:left w:val="nil"/>
              <w:bottom w:val="single" w:sz="18" w:space="0" w:color="F7941D"/>
              <w:right w:val="nil"/>
            </w:tcBorders>
            <w:shd w:val="clear" w:color="auto" w:fill="auto"/>
          </w:tcPr>
          <w:p w14:paraId="1D0FB695" w14:textId="77777777" w:rsidR="00673E93" w:rsidRPr="00AB4CCB" w:rsidRDefault="00673E93" w:rsidP="008B43F1">
            <w:pPr>
              <w:numPr>
                <w:ilvl w:val="0"/>
                <w:numId w:val="31"/>
              </w:numPr>
              <w:pBdr>
                <w:top w:val="nil"/>
                <w:left w:val="nil"/>
                <w:bottom w:val="nil"/>
                <w:right w:val="nil"/>
                <w:between w:val="nil"/>
              </w:pBdr>
              <w:contextualSpacing/>
              <w:jc w:val="both"/>
              <w:rPr>
                <w:rFonts w:cs="Arial"/>
                <w:color w:val="000000"/>
                <w:sz w:val="22"/>
                <w:szCs w:val="22"/>
              </w:rPr>
            </w:pPr>
            <w:r w:rsidRPr="00AB4CCB">
              <w:rPr>
                <w:rFonts w:cs="Arial"/>
                <w:color w:val="000000"/>
                <w:sz w:val="22"/>
                <w:szCs w:val="22"/>
              </w:rPr>
              <w:t>Increase the number of primary, secondary and tertiary level schools delivering sexual health education with high quality and comprehensive STI content.</w:t>
            </w:r>
          </w:p>
          <w:p w14:paraId="7EDC382D" w14:textId="77777777" w:rsidR="00673E93" w:rsidRPr="00AB4CCB" w:rsidRDefault="00673E93" w:rsidP="008B43F1">
            <w:pPr>
              <w:numPr>
                <w:ilvl w:val="0"/>
                <w:numId w:val="31"/>
              </w:numPr>
              <w:pBdr>
                <w:top w:val="nil"/>
                <w:left w:val="nil"/>
                <w:bottom w:val="nil"/>
                <w:right w:val="nil"/>
                <w:between w:val="nil"/>
              </w:pBdr>
              <w:contextualSpacing/>
              <w:jc w:val="both"/>
              <w:rPr>
                <w:rFonts w:cs="Arial"/>
                <w:sz w:val="22"/>
                <w:szCs w:val="22"/>
              </w:rPr>
            </w:pPr>
            <w:r w:rsidRPr="00AB4CCB">
              <w:rPr>
                <w:rFonts w:cs="Arial"/>
                <w:color w:val="000000"/>
                <w:sz w:val="22"/>
                <w:szCs w:val="22"/>
                <w:lang w:val="en-US"/>
              </w:rPr>
              <w:t xml:space="preserve">Increase STI knowledge, awareness and attitudes, among general and priority populations.  </w:t>
            </w:r>
          </w:p>
        </w:tc>
      </w:tr>
      <w:tr w:rsidR="00673E93" w:rsidRPr="00AB4CCB" w14:paraId="27B09506" w14:textId="77777777" w:rsidTr="00CF3E48">
        <w:trPr>
          <w:cantSplit/>
          <w:trHeight w:val="1322"/>
        </w:trPr>
        <w:tc>
          <w:tcPr>
            <w:tcW w:w="1960" w:type="dxa"/>
            <w:tcBorders>
              <w:top w:val="single" w:sz="18" w:space="0" w:color="F7941D"/>
              <w:left w:val="nil"/>
              <w:bottom w:val="single" w:sz="18" w:space="0" w:color="F7941D"/>
              <w:right w:val="nil"/>
            </w:tcBorders>
            <w:shd w:val="clear" w:color="auto" w:fill="F2F2F2"/>
            <w:vAlign w:val="center"/>
          </w:tcPr>
          <w:p w14:paraId="5484A651" w14:textId="77777777" w:rsidR="00673E93" w:rsidRPr="00AB4CCB" w:rsidRDefault="00673E93" w:rsidP="00CF3E48">
            <w:pPr>
              <w:spacing w:before="60" w:after="60"/>
              <w:textAlignment w:val="baseline"/>
              <w:rPr>
                <w:rFonts w:eastAsia="Times New Roman" w:cs="Arial"/>
                <w:b/>
                <w:bCs/>
                <w:color w:val="000000"/>
                <w:lang w:eastAsia="en-AU"/>
              </w:rPr>
            </w:pPr>
            <w:r>
              <w:rPr>
                <w:rFonts w:eastAsia="Times New Roman" w:cs="Arial"/>
                <w:b/>
                <w:bCs/>
                <w:color w:val="000000"/>
                <w:lang w:eastAsia="en-AU"/>
              </w:rPr>
              <w:t>P</w:t>
            </w:r>
            <w:r w:rsidRPr="00AB4CCB">
              <w:rPr>
                <w:rFonts w:eastAsia="Times New Roman" w:cs="Arial"/>
                <w:b/>
                <w:bCs/>
                <w:color w:val="000000"/>
                <w:lang w:eastAsia="en-AU"/>
              </w:rPr>
              <w:t>revention</w:t>
            </w:r>
            <w:r>
              <w:rPr>
                <w:rFonts w:eastAsia="Times New Roman" w:cs="Arial"/>
                <w:b/>
                <w:bCs/>
                <w:color w:val="000000"/>
                <w:lang w:eastAsia="en-AU"/>
              </w:rPr>
              <w:t xml:space="preserve"> Testing and Treatment</w:t>
            </w:r>
          </w:p>
          <w:p w14:paraId="7FED54ED" w14:textId="77777777" w:rsidR="00673E93" w:rsidRPr="00AB4CCB" w:rsidRDefault="00673E93" w:rsidP="00CF3E48">
            <w:pPr>
              <w:spacing w:before="60" w:after="60"/>
              <w:textAlignment w:val="baseline"/>
              <w:rPr>
                <w:rFonts w:eastAsia="Times New Roman" w:cs="Arial"/>
                <w:b/>
                <w:bCs/>
                <w:color w:val="000000"/>
                <w:lang w:eastAsia="en-AU"/>
              </w:rPr>
            </w:pPr>
          </w:p>
          <w:p w14:paraId="4EE010B1" w14:textId="77777777" w:rsidR="00673E93" w:rsidRPr="00AB4CCB" w:rsidRDefault="00673E93" w:rsidP="00CF3E48">
            <w:pPr>
              <w:spacing w:before="60" w:after="60"/>
              <w:textAlignment w:val="baseline"/>
              <w:rPr>
                <w:rFonts w:eastAsia="Times New Roman" w:cs="Arial"/>
                <w:b/>
                <w:bCs/>
                <w:color w:val="000000"/>
                <w:lang w:eastAsia="en-AU"/>
              </w:rPr>
            </w:pPr>
            <w:r w:rsidRPr="00AB4CCB">
              <w:rPr>
                <w:b/>
                <w:bCs/>
                <w:noProof/>
              </w:rPr>
              <w:drawing>
                <wp:inline distT="0" distB="0" distL="0" distR="0" wp14:anchorId="00B44BF1" wp14:editId="1FD21546">
                  <wp:extent cx="712800" cy="720149"/>
                  <wp:effectExtent l="0" t="0" r="0" b="3810"/>
                  <wp:docPr id="1333341443" name="Graphic 1333341443" descr="P444C10T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41443" name="Graphic 1333341443" descr="P444C10T5#yIS1">
                            <a:extLst>
                              <a:ext uri="{C183D7F6-B498-43B3-948B-1728B52AA6E4}">
                                <adec:decorative xmlns:adec="http://schemas.microsoft.com/office/drawing/2017/decorative" val="1"/>
                              </a:ext>
                            </a:extLst>
                          </pic:cNvPr>
                          <pic:cNvPicPr/>
                        </pic:nvPicPr>
                        <pic:blipFill>
                          <a:blip r:embed="rId80">
                            <a:grayscl/>
                            <a:extLst>
                              <a:ext uri="{96DAC541-7B7A-43D3-8B79-37D633B846F1}">
                                <asvg:svgBlip xmlns:asvg="http://schemas.microsoft.com/office/drawing/2016/SVG/main" r:embed="rId81"/>
                              </a:ext>
                            </a:extLst>
                          </a:blip>
                          <a:stretch>
                            <a:fillRect/>
                          </a:stretch>
                        </pic:blipFill>
                        <pic:spPr>
                          <a:xfrm>
                            <a:off x="0" y="0"/>
                            <a:ext cx="712800" cy="720149"/>
                          </a:xfrm>
                          <a:prstGeom prst="rect">
                            <a:avLst/>
                          </a:prstGeom>
                        </pic:spPr>
                      </pic:pic>
                    </a:graphicData>
                  </a:graphic>
                </wp:inline>
              </w:drawing>
            </w:r>
          </w:p>
        </w:tc>
        <w:tc>
          <w:tcPr>
            <w:tcW w:w="7679" w:type="dxa"/>
            <w:gridSpan w:val="2"/>
            <w:tcBorders>
              <w:top w:val="single" w:sz="18" w:space="0" w:color="F7941D"/>
              <w:left w:val="nil"/>
              <w:bottom w:val="single" w:sz="18" w:space="0" w:color="F7941D"/>
              <w:right w:val="nil"/>
            </w:tcBorders>
            <w:shd w:val="clear" w:color="auto" w:fill="auto"/>
          </w:tcPr>
          <w:p w14:paraId="1B201DF5" w14:textId="6DF2229E" w:rsidR="00673E93" w:rsidRPr="00E94987" w:rsidRDefault="00673E93" w:rsidP="008B43F1">
            <w:pPr>
              <w:numPr>
                <w:ilvl w:val="0"/>
                <w:numId w:val="30"/>
              </w:numPr>
              <w:spacing w:before="120" w:after="120"/>
              <w:contextualSpacing/>
              <w:jc w:val="both"/>
              <w:rPr>
                <w:rFonts w:cs="Arial"/>
                <w:color w:val="000000"/>
                <w:sz w:val="22"/>
                <w:szCs w:val="22"/>
              </w:rPr>
            </w:pPr>
            <w:r w:rsidRPr="00E94987">
              <w:rPr>
                <w:rFonts w:cs="Arial"/>
                <w:color w:val="000000"/>
                <w:sz w:val="22"/>
                <w:szCs w:val="22"/>
              </w:rPr>
              <w:t>Increase the number of people diagnosed with a STI who commence treatment within 7 days and receive treatment regimens recommended in the guidelines.</w:t>
            </w:r>
          </w:p>
          <w:p w14:paraId="3A2A0DB5" w14:textId="277DD1F8" w:rsidR="00673E93" w:rsidRPr="00AB4CCB" w:rsidRDefault="00673E93" w:rsidP="008B43F1">
            <w:pPr>
              <w:numPr>
                <w:ilvl w:val="0"/>
                <w:numId w:val="30"/>
              </w:numPr>
              <w:spacing w:before="60" w:after="60"/>
              <w:contextualSpacing/>
              <w:textAlignment w:val="baseline"/>
              <w:rPr>
                <w:rFonts w:eastAsia="Times New Roman" w:cs="Arial"/>
                <w:sz w:val="22"/>
                <w:szCs w:val="22"/>
                <w:lang w:eastAsia="en-AU"/>
              </w:rPr>
            </w:pPr>
            <w:r w:rsidRPr="00AB4CCB">
              <w:rPr>
                <w:rFonts w:eastAsia="Times New Roman" w:cs="Arial"/>
                <w:sz w:val="22"/>
                <w:szCs w:val="22"/>
                <w:lang w:eastAsia="en-AU"/>
              </w:rPr>
              <w:t xml:space="preserve">Increase in the proportion of priority </w:t>
            </w:r>
            <w:r w:rsidRPr="00AB4CCB">
              <w:rPr>
                <w:rFonts w:cs="Arial"/>
                <w:color w:val="000000"/>
                <w:sz w:val="22"/>
                <w:szCs w:val="22"/>
              </w:rPr>
              <w:t xml:space="preserve">and general </w:t>
            </w:r>
            <w:r w:rsidRPr="00AB4CCB">
              <w:rPr>
                <w:rFonts w:eastAsia="Times New Roman" w:cs="Arial"/>
                <w:sz w:val="22"/>
                <w:szCs w:val="22"/>
                <w:lang w:eastAsia="en-AU"/>
              </w:rPr>
              <w:t>populations using any STI prevention strategy (</w:t>
            </w:r>
            <w:r w:rsidR="001538C4" w:rsidRPr="00AB4CCB">
              <w:rPr>
                <w:rFonts w:eastAsia="Times New Roman" w:cs="Arial"/>
                <w:sz w:val="22"/>
                <w:szCs w:val="22"/>
                <w:lang w:eastAsia="en-AU"/>
              </w:rPr>
              <w:t>e.g.</w:t>
            </w:r>
            <w:r w:rsidRPr="00AB4CCB">
              <w:rPr>
                <w:rFonts w:eastAsia="Times New Roman" w:cs="Arial"/>
                <w:sz w:val="22"/>
                <w:szCs w:val="22"/>
                <w:lang w:eastAsia="en-AU"/>
              </w:rPr>
              <w:t xml:space="preserve"> condoms, doxy PEP), within the past 12 months.</w:t>
            </w:r>
          </w:p>
          <w:p w14:paraId="7A5C9A17" w14:textId="7AF09554" w:rsidR="00673E93" w:rsidRPr="00AB4CCB" w:rsidRDefault="00673E93" w:rsidP="008B43F1">
            <w:pPr>
              <w:numPr>
                <w:ilvl w:val="0"/>
                <w:numId w:val="30"/>
              </w:numPr>
              <w:contextualSpacing/>
              <w:rPr>
                <w:rFonts w:cs="Arial"/>
                <w:color w:val="000000"/>
                <w:sz w:val="22"/>
                <w:szCs w:val="22"/>
              </w:rPr>
            </w:pPr>
            <w:r w:rsidRPr="00AB4CCB">
              <w:rPr>
                <w:rFonts w:cs="Arial"/>
                <w:color w:val="000000"/>
                <w:sz w:val="22"/>
                <w:szCs w:val="22"/>
              </w:rPr>
              <w:t>Increase coverage</w:t>
            </w:r>
            <w:r w:rsidR="00DE63A8">
              <w:rPr>
                <w:rFonts w:cs="Arial"/>
                <w:color w:val="000000"/>
                <w:sz w:val="22"/>
                <w:szCs w:val="22"/>
              </w:rPr>
              <w:t xml:space="preserve"> of</w:t>
            </w:r>
            <w:r w:rsidRPr="00AB4CCB">
              <w:rPr>
                <w:rFonts w:cs="Arial"/>
                <w:color w:val="000000"/>
                <w:sz w:val="22"/>
                <w:szCs w:val="22"/>
              </w:rPr>
              <w:t xml:space="preserve"> HPV vaccination to 90% by the age of 15.</w:t>
            </w:r>
          </w:p>
          <w:p w14:paraId="4253E623" w14:textId="285D1C54" w:rsidR="00673E93" w:rsidRPr="00B6412E" w:rsidRDefault="00673E93" w:rsidP="008B43F1">
            <w:pPr>
              <w:numPr>
                <w:ilvl w:val="0"/>
                <w:numId w:val="30"/>
              </w:numPr>
              <w:pBdr>
                <w:top w:val="nil"/>
                <w:left w:val="nil"/>
                <w:bottom w:val="nil"/>
                <w:right w:val="nil"/>
                <w:between w:val="nil"/>
              </w:pBdr>
              <w:spacing w:before="120" w:after="120"/>
              <w:jc w:val="both"/>
              <w:rPr>
                <w:rFonts w:cs="Arial"/>
                <w:color w:val="000000"/>
                <w:sz w:val="22"/>
                <w:szCs w:val="22"/>
              </w:rPr>
            </w:pPr>
            <w:r w:rsidRPr="00AB4CCB">
              <w:rPr>
                <w:rFonts w:cs="Arial"/>
                <w:color w:val="000000"/>
                <w:sz w:val="22"/>
                <w:szCs w:val="22"/>
              </w:rPr>
              <w:t xml:space="preserve">Increase number of health services offering diverse testing strategies and STI point-of-care tests </w:t>
            </w:r>
            <w:r w:rsidRPr="00AB4CCB">
              <w:rPr>
                <w:sz w:val="22"/>
                <w:szCs w:val="22"/>
              </w:rPr>
              <w:t>where there are significant distances to laboratories and/or risk of loss to follow of for patients for treatment/care.</w:t>
            </w:r>
          </w:p>
        </w:tc>
      </w:tr>
      <w:tr w:rsidR="00673E93" w:rsidRPr="00AB4CCB" w14:paraId="452226E8" w14:textId="77777777" w:rsidTr="00CF3E48">
        <w:trPr>
          <w:cantSplit/>
        </w:trPr>
        <w:tc>
          <w:tcPr>
            <w:tcW w:w="1960" w:type="dxa"/>
            <w:tcBorders>
              <w:top w:val="single" w:sz="18" w:space="0" w:color="F7941D"/>
              <w:left w:val="nil"/>
              <w:bottom w:val="single" w:sz="18" w:space="0" w:color="F7941D"/>
              <w:right w:val="nil"/>
            </w:tcBorders>
            <w:shd w:val="clear" w:color="auto" w:fill="F2F2F2"/>
            <w:vAlign w:val="center"/>
          </w:tcPr>
          <w:p w14:paraId="3C51C585" w14:textId="77777777" w:rsidR="00673E93" w:rsidRPr="00AB4CCB" w:rsidRDefault="00673E93" w:rsidP="00CF3E48">
            <w:pPr>
              <w:spacing w:before="60" w:after="60"/>
              <w:textAlignment w:val="baseline"/>
              <w:rPr>
                <w:rFonts w:eastAsia="Times New Roman" w:cs="Arial"/>
                <w:b/>
                <w:bCs/>
                <w:color w:val="000000"/>
                <w:lang w:eastAsia="en-AU"/>
              </w:rPr>
            </w:pPr>
            <w:r>
              <w:rPr>
                <w:rFonts w:eastAsia="Times New Roman" w:cs="Arial"/>
                <w:b/>
                <w:bCs/>
                <w:color w:val="000000"/>
                <w:lang w:eastAsia="en-AU"/>
              </w:rPr>
              <w:t xml:space="preserve">Equity and </w:t>
            </w:r>
            <w:r w:rsidRPr="00AB4CCB">
              <w:rPr>
                <w:rFonts w:eastAsia="Times New Roman" w:cs="Arial"/>
                <w:b/>
                <w:bCs/>
                <w:color w:val="000000"/>
                <w:lang w:eastAsia="en-AU"/>
              </w:rPr>
              <w:t>Access</w:t>
            </w:r>
          </w:p>
          <w:p w14:paraId="28135DF4" w14:textId="77777777" w:rsidR="00673E93" w:rsidRPr="00AB4CCB" w:rsidRDefault="00673E93" w:rsidP="00CF3E48">
            <w:pPr>
              <w:spacing w:before="60" w:after="60"/>
              <w:textAlignment w:val="baseline"/>
              <w:rPr>
                <w:rFonts w:eastAsia="Times New Roman" w:cs="Arial"/>
                <w:b/>
                <w:bCs/>
                <w:color w:val="000000"/>
                <w:lang w:eastAsia="en-AU"/>
              </w:rPr>
            </w:pPr>
          </w:p>
          <w:p w14:paraId="0A081CEE" w14:textId="77777777" w:rsidR="00673E93" w:rsidRPr="00AB4CCB" w:rsidRDefault="00673E93" w:rsidP="00CF3E48">
            <w:pPr>
              <w:spacing w:before="60" w:after="60"/>
              <w:textAlignment w:val="baseline"/>
              <w:rPr>
                <w:rFonts w:eastAsia="Times New Roman" w:cs="Arial"/>
                <w:b/>
                <w:bCs/>
                <w:color w:val="000000"/>
                <w:lang w:eastAsia="en-AU"/>
              </w:rPr>
            </w:pPr>
            <w:r w:rsidRPr="00AB4CCB">
              <w:rPr>
                <w:b/>
                <w:bCs/>
                <w:noProof/>
              </w:rPr>
              <w:drawing>
                <wp:inline distT="0" distB="0" distL="0" distR="0" wp14:anchorId="5986E529" wp14:editId="27124D38">
                  <wp:extent cx="612476" cy="609530"/>
                  <wp:effectExtent l="0" t="0" r="0" b="635"/>
                  <wp:docPr id="652188633" name="Graphic 652188633" descr="P452C12T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88633" name="Graphic 652188633" descr="P452C12T5#yIS1">
                            <a:extLst>
                              <a:ext uri="{C183D7F6-B498-43B3-948B-1728B52AA6E4}">
                                <adec:decorative xmlns:adec="http://schemas.microsoft.com/office/drawing/2017/decorative" val="1"/>
                              </a:ext>
                            </a:extLst>
                          </pic:cNvPr>
                          <pic:cNvPicPr/>
                        </pic:nvPicPr>
                        <pic:blipFill>
                          <a:blip r:embed="rId82">
                            <a:grayscl/>
                            <a:extLst>
                              <a:ext uri="{96DAC541-7B7A-43D3-8B79-37D633B846F1}">
                                <asvg:svgBlip xmlns:asvg="http://schemas.microsoft.com/office/drawing/2016/SVG/main" r:embed="rId83"/>
                              </a:ext>
                            </a:extLst>
                          </a:blip>
                          <a:stretch>
                            <a:fillRect/>
                          </a:stretch>
                        </pic:blipFill>
                        <pic:spPr>
                          <a:xfrm>
                            <a:off x="0" y="0"/>
                            <a:ext cx="619600" cy="616620"/>
                          </a:xfrm>
                          <a:prstGeom prst="rect">
                            <a:avLst/>
                          </a:prstGeom>
                        </pic:spPr>
                      </pic:pic>
                    </a:graphicData>
                  </a:graphic>
                </wp:inline>
              </w:drawing>
            </w:r>
          </w:p>
        </w:tc>
        <w:tc>
          <w:tcPr>
            <w:tcW w:w="7679" w:type="dxa"/>
            <w:gridSpan w:val="2"/>
            <w:tcBorders>
              <w:top w:val="single" w:sz="18" w:space="0" w:color="F7941D"/>
              <w:left w:val="nil"/>
              <w:bottom w:val="single" w:sz="18" w:space="0" w:color="F7941D"/>
              <w:right w:val="nil"/>
            </w:tcBorders>
            <w:shd w:val="clear" w:color="auto" w:fill="auto"/>
          </w:tcPr>
          <w:p w14:paraId="1B4BFA96" w14:textId="5DD7CB82" w:rsidR="00BA549D" w:rsidRPr="00BA549D" w:rsidRDefault="00BA549D" w:rsidP="008B43F1">
            <w:pPr>
              <w:numPr>
                <w:ilvl w:val="0"/>
                <w:numId w:val="30"/>
              </w:numPr>
              <w:contextualSpacing/>
              <w:rPr>
                <w:rFonts w:cs="Arial"/>
                <w:sz w:val="22"/>
                <w:szCs w:val="22"/>
              </w:rPr>
            </w:pPr>
            <w:r w:rsidRPr="00BA549D">
              <w:rPr>
                <w:rFonts w:cs="Arial"/>
                <w:sz w:val="22"/>
                <w:szCs w:val="22"/>
              </w:rPr>
              <w:t>Reduce experiences of stigma for priority populations accessing health services, including through reducing stigmatising attitudes of healthcare workers</w:t>
            </w:r>
          </w:p>
          <w:p w14:paraId="077F9920" w14:textId="7D0ED8A0" w:rsidR="00673E93" w:rsidRPr="00E94987" w:rsidRDefault="00673E93" w:rsidP="008B43F1">
            <w:pPr>
              <w:pStyle w:val="ListParagraph"/>
              <w:numPr>
                <w:ilvl w:val="0"/>
                <w:numId w:val="30"/>
              </w:numPr>
              <w:spacing w:after="160" w:line="259" w:lineRule="auto"/>
              <w:rPr>
                <w:rFonts w:cs="Arial"/>
                <w:color w:val="000000" w:themeColor="text1"/>
                <w:sz w:val="22"/>
                <w:szCs w:val="22"/>
              </w:rPr>
            </w:pPr>
            <w:r w:rsidRPr="00E94987">
              <w:rPr>
                <w:rFonts w:cs="Arial"/>
                <w:color w:val="000000" w:themeColor="text1"/>
                <w:sz w:val="22"/>
                <w:szCs w:val="22"/>
              </w:rPr>
              <w:t xml:space="preserve">Reduce differences in STI rates between geographic locations and between priority populations and all Australians. </w:t>
            </w:r>
          </w:p>
        </w:tc>
      </w:tr>
      <w:tr w:rsidR="00673E93" w:rsidRPr="00AB4CCB" w14:paraId="2F8EA81B" w14:textId="77777777" w:rsidTr="00CF3E48">
        <w:trPr>
          <w:cantSplit/>
          <w:trHeight w:val="2446"/>
        </w:trPr>
        <w:tc>
          <w:tcPr>
            <w:tcW w:w="1960" w:type="dxa"/>
            <w:tcBorders>
              <w:top w:val="single" w:sz="18" w:space="0" w:color="F7941D"/>
              <w:left w:val="nil"/>
              <w:bottom w:val="single" w:sz="18" w:space="0" w:color="F7941D"/>
              <w:right w:val="nil"/>
            </w:tcBorders>
            <w:shd w:val="clear" w:color="auto" w:fill="F2F2F2"/>
            <w:vAlign w:val="center"/>
          </w:tcPr>
          <w:p w14:paraId="4A3B7AA8" w14:textId="77777777" w:rsidR="00673E93" w:rsidRPr="00AB4CCB" w:rsidRDefault="00673E93" w:rsidP="00CF3E48">
            <w:pPr>
              <w:spacing w:before="60" w:after="60"/>
              <w:textAlignment w:val="baseline"/>
              <w:rPr>
                <w:rFonts w:eastAsia="Times New Roman" w:cs="Arial"/>
                <w:b/>
                <w:bCs/>
                <w:color w:val="000000"/>
                <w:lang w:eastAsia="en-AU"/>
              </w:rPr>
            </w:pPr>
            <w:r>
              <w:rPr>
                <w:rFonts w:eastAsia="Times New Roman" w:cs="Arial"/>
                <w:b/>
                <w:bCs/>
                <w:color w:val="000000"/>
                <w:lang w:eastAsia="en-AU"/>
              </w:rPr>
              <w:lastRenderedPageBreak/>
              <w:t>Data, Surveillance, Research and Evaluation</w:t>
            </w:r>
          </w:p>
          <w:p w14:paraId="66DD59D8" w14:textId="77777777" w:rsidR="00673E93" w:rsidRPr="00AB4CCB" w:rsidRDefault="00673E93" w:rsidP="00CF3E48">
            <w:pPr>
              <w:spacing w:before="60" w:after="60"/>
              <w:textAlignment w:val="baseline"/>
              <w:rPr>
                <w:rFonts w:eastAsia="Times New Roman" w:cs="Arial"/>
                <w:b/>
                <w:bCs/>
                <w:color w:val="000000"/>
                <w:lang w:eastAsia="en-AU"/>
              </w:rPr>
            </w:pPr>
          </w:p>
          <w:p w14:paraId="54CC9300" w14:textId="77777777" w:rsidR="00673E93" w:rsidRPr="00AB4CCB" w:rsidRDefault="00673E93" w:rsidP="00CF3E48">
            <w:pPr>
              <w:spacing w:before="60" w:after="60"/>
              <w:textAlignment w:val="baseline"/>
              <w:rPr>
                <w:rFonts w:eastAsia="Times New Roman" w:cs="Arial"/>
                <w:b/>
                <w:bCs/>
                <w:color w:val="000000"/>
                <w:lang w:eastAsia="en-AU"/>
              </w:rPr>
            </w:pPr>
            <w:r w:rsidRPr="00AB4CCB">
              <w:rPr>
                <w:b/>
                <w:bCs/>
                <w:noProof/>
              </w:rPr>
              <w:drawing>
                <wp:inline distT="0" distB="0" distL="0" distR="0" wp14:anchorId="04292E1F" wp14:editId="3ADB0765">
                  <wp:extent cx="720000" cy="720000"/>
                  <wp:effectExtent l="0" t="0" r="0" b="0"/>
                  <wp:docPr id="2100277662" name="Graphic 2100277662" descr="P458C14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77662" name="Graphic 2100277662" descr="P458C14T5#yIS1"/>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720000" cy="720000"/>
                          </a:xfrm>
                          <a:prstGeom prst="rect">
                            <a:avLst/>
                          </a:prstGeom>
                        </pic:spPr>
                      </pic:pic>
                    </a:graphicData>
                  </a:graphic>
                </wp:inline>
              </w:drawing>
            </w:r>
          </w:p>
        </w:tc>
        <w:tc>
          <w:tcPr>
            <w:tcW w:w="7679" w:type="dxa"/>
            <w:gridSpan w:val="2"/>
            <w:tcBorders>
              <w:top w:val="single" w:sz="18" w:space="0" w:color="F7941D"/>
              <w:left w:val="nil"/>
              <w:bottom w:val="single" w:sz="18" w:space="0" w:color="F7941D"/>
              <w:right w:val="nil"/>
            </w:tcBorders>
            <w:shd w:val="clear" w:color="auto" w:fill="auto"/>
          </w:tcPr>
          <w:p w14:paraId="4730578B" w14:textId="327B539B" w:rsidR="00673E93" w:rsidRPr="00AB4CCB" w:rsidRDefault="00673E93" w:rsidP="008B43F1">
            <w:pPr>
              <w:numPr>
                <w:ilvl w:val="0"/>
                <w:numId w:val="30"/>
              </w:numPr>
              <w:contextualSpacing/>
              <w:rPr>
                <w:rFonts w:cs="Arial"/>
                <w:sz w:val="22"/>
                <w:szCs w:val="22"/>
              </w:rPr>
            </w:pPr>
            <w:r w:rsidRPr="00AB4CCB">
              <w:rPr>
                <w:rFonts w:cs="Arial"/>
                <w:sz w:val="22"/>
                <w:szCs w:val="22"/>
              </w:rPr>
              <w:t>Achieve and sustain zero congenital syphilis cases and confirmed elimination</w:t>
            </w:r>
            <w:r>
              <w:rPr>
                <w:rFonts w:cs="Arial"/>
                <w:sz w:val="22"/>
                <w:szCs w:val="22"/>
              </w:rPr>
              <w:t xml:space="preserve"> (no new cases reported in a </w:t>
            </w:r>
            <w:r w:rsidR="001538C4">
              <w:rPr>
                <w:rFonts w:cs="Arial"/>
                <w:sz w:val="22"/>
                <w:szCs w:val="22"/>
              </w:rPr>
              <w:t>two-year</w:t>
            </w:r>
            <w:r>
              <w:rPr>
                <w:rFonts w:cs="Arial"/>
                <w:sz w:val="22"/>
                <w:szCs w:val="22"/>
              </w:rPr>
              <w:t xml:space="preserve"> period)</w:t>
            </w:r>
            <w:r w:rsidRPr="00AB4CCB">
              <w:rPr>
                <w:rFonts w:cs="Arial"/>
                <w:sz w:val="22"/>
                <w:szCs w:val="22"/>
              </w:rPr>
              <w:t>.</w:t>
            </w:r>
          </w:p>
          <w:p w14:paraId="249B4298" w14:textId="77777777" w:rsidR="00673E93" w:rsidRPr="00AB4CCB" w:rsidRDefault="00673E93" w:rsidP="008B43F1">
            <w:pPr>
              <w:numPr>
                <w:ilvl w:val="0"/>
                <w:numId w:val="30"/>
              </w:numPr>
              <w:pBdr>
                <w:top w:val="nil"/>
                <w:left w:val="nil"/>
                <w:bottom w:val="nil"/>
                <w:right w:val="nil"/>
                <w:between w:val="nil"/>
              </w:pBdr>
              <w:contextualSpacing/>
              <w:rPr>
                <w:rFonts w:cs="Arial"/>
                <w:sz w:val="22"/>
                <w:szCs w:val="22"/>
              </w:rPr>
            </w:pPr>
            <w:r w:rsidRPr="00AB4CCB">
              <w:rPr>
                <w:rFonts w:cs="Arial"/>
                <w:sz w:val="22"/>
                <w:szCs w:val="22"/>
              </w:rPr>
              <w:t>Decrease notification rates</w:t>
            </w:r>
            <w:r>
              <w:rPr>
                <w:rFonts w:cs="Arial"/>
                <w:sz w:val="22"/>
                <w:szCs w:val="22"/>
              </w:rPr>
              <w:t xml:space="preserve"> and morbidity</w:t>
            </w:r>
            <w:r w:rsidRPr="00AB4CCB">
              <w:rPr>
                <w:rFonts w:cs="Arial"/>
                <w:sz w:val="22"/>
                <w:szCs w:val="22"/>
              </w:rPr>
              <w:t xml:space="preserve"> of infectious syphilis.</w:t>
            </w:r>
          </w:p>
          <w:p w14:paraId="594E653D" w14:textId="62A0E361" w:rsidR="00673E93" w:rsidRPr="00ED0E53" w:rsidRDefault="00673E93" w:rsidP="008B43F1">
            <w:pPr>
              <w:numPr>
                <w:ilvl w:val="0"/>
                <w:numId w:val="30"/>
              </w:numPr>
              <w:pBdr>
                <w:top w:val="nil"/>
                <w:left w:val="nil"/>
                <w:bottom w:val="nil"/>
                <w:right w:val="nil"/>
                <w:between w:val="nil"/>
              </w:pBdr>
              <w:contextualSpacing/>
              <w:rPr>
                <w:rFonts w:cs="Arial"/>
                <w:sz w:val="22"/>
                <w:szCs w:val="22"/>
              </w:rPr>
            </w:pPr>
            <w:r w:rsidRPr="00AB4CCB">
              <w:rPr>
                <w:rFonts w:cs="Arial"/>
                <w:sz w:val="22"/>
                <w:szCs w:val="22"/>
              </w:rPr>
              <w:t xml:space="preserve">Decrease </w:t>
            </w:r>
            <w:r>
              <w:rPr>
                <w:rFonts w:cs="Arial"/>
                <w:sz w:val="22"/>
                <w:szCs w:val="22"/>
              </w:rPr>
              <w:t>n</w:t>
            </w:r>
            <w:r w:rsidRPr="00AB4CCB">
              <w:rPr>
                <w:rFonts w:cs="Arial"/>
                <w:sz w:val="22"/>
                <w:szCs w:val="22"/>
              </w:rPr>
              <w:t>otification rates</w:t>
            </w:r>
            <w:r>
              <w:rPr>
                <w:rFonts w:cs="Arial"/>
                <w:sz w:val="22"/>
                <w:szCs w:val="22"/>
              </w:rPr>
              <w:t xml:space="preserve"> and morbidity</w:t>
            </w:r>
            <w:r w:rsidRPr="00AB4CCB">
              <w:rPr>
                <w:rFonts w:cs="Arial"/>
                <w:sz w:val="22"/>
                <w:szCs w:val="22"/>
              </w:rPr>
              <w:t xml:space="preserve"> of all other nationally notifiable STI such as chlamydia and gonorrhoea.</w:t>
            </w:r>
          </w:p>
        </w:tc>
      </w:tr>
    </w:tbl>
    <w:p w14:paraId="675DE029" w14:textId="77777777" w:rsidR="00AA1AFD" w:rsidRDefault="00AA1AFD" w:rsidP="00DD4E2C">
      <w:pPr>
        <w:jc w:val="both"/>
        <w:rPr>
          <w:rFonts w:cs="Arial"/>
          <w:color w:val="000000" w:themeColor="text1"/>
          <w:sz w:val="22"/>
          <w:szCs w:val="22"/>
        </w:rPr>
      </w:pPr>
    </w:p>
    <w:p w14:paraId="2E318E75" w14:textId="5719F07F" w:rsidR="002D4373" w:rsidRDefault="002D4373">
      <w:pPr>
        <w:rPr>
          <w:rFonts w:cs="Arial"/>
          <w:color w:val="000000" w:themeColor="text1"/>
          <w:sz w:val="22"/>
          <w:szCs w:val="22"/>
          <w:highlight w:val="yellow"/>
        </w:rPr>
      </w:pPr>
      <w:r>
        <w:rPr>
          <w:rFonts w:cs="Arial"/>
          <w:color w:val="000000" w:themeColor="text1"/>
          <w:sz w:val="22"/>
          <w:szCs w:val="22"/>
          <w:highlight w:val="yellow"/>
        </w:rPr>
        <w:br w:type="page"/>
      </w:r>
    </w:p>
    <w:p w14:paraId="571364D4" w14:textId="51B2994A" w:rsidR="00031E79" w:rsidRPr="007E1A00" w:rsidRDefault="00031E79" w:rsidP="007E1A00">
      <w:pPr>
        <w:pStyle w:val="Heading1"/>
      </w:pPr>
      <w:bookmarkStart w:id="59" w:name="_Toc138151586"/>
      <w:bookmarkStart w:id="60" w:name="_Toc138173795"/>
      <w:bookmarkStart w:id="61" w:name="_Toc150160959"/>
      <w:bookmarkStart w:id="62" w:name="_Toc163737185"/>
      <w:r w:rsidRPr="00442D9E">
        <w:lastRenderedPageBreak/>
        <w:t>Priority populations and settings</w:t>
      </w:r>
      <w:bookmarkEnd w:id="59"/>
      <w:bookmarkEnd w:id="60"/>
      <w:bookmarkEnd w:id="61"/>
      <w:bookmarkEnd w:id="62"/>
    </w:p>
    <w:p w14:paraId="249967C4" w14:textId="674791F9" w:rsidR="00F33D2B" w:rsidRPr="00442D9E" w:rsidRDefault="00031E79" w:rsidP="00F33D2B">
      <w:pPr>
        <w:pStyle w:val="BodyText"/>
        <w:jc w:val="both"/>
        <w:rPr>
          <w:rFonts w:cs="Arial"/>
          <w:color w:val="000000" w:themeColor="text1"/>
          <w:sz w:val="22"/>
          <w:szCs w:val="22"/>
        </w:rPr>
      </w:pPr>
      <w:r w:rsidRPr="00442D9E">
        <w:rPr>
          <w:rFonts w:cs="Arial"/>
          <w:color w:val="000000" w:themeColor="text1"/>
          <w:sz w:val="22"/>
          <w:szCs w:val="22"/>
        </w:rPr>
        <w:t>People who have one or more STI are a changing group for whom clear referral pathways, access to sexual health services and follow-up is important. This is an opportunity not only for treatment, care</w:t>
      </w:r>
      <w:r w:rsidR="00E628F9">
        <w:rPr>
          <w:rFonts w:cs="Arial"/>
          <w:color w:val="000000" w:themeColor="text1"/>
          <w:sz w:val="22"/>
          <w:szCs w:val="22"/>
        </w:rPr>
        <w:t>,</w:t>
      </w:r>
      <w:r w:rsidRPr="00442D9E">
        <w:rPr>
          <w:rFonts w:cs="Arial"/>
          <w:color w:val="000000" w:themeColor="text1"/>
          <w:sz w:val="22"/>
          <w:szCs w:val="22"/>
        </w:rPr>
        <w:t xml:space="preserve"> and support, but also for awareness raising about prevention and well-being. The unique challenges and experiences within all priority populations must be considered in the response</w:t>
      </w:r>
      <w:r w:rsidR="008D5C10">
        <w:rPr>
          <w:rFonts w:cs="Arial"/>
          <w:color w:val="000000" w:themeColor="text1"/>
          <w:sz w:val="22"/>
          <w:szCs w:val="22"/>
        </w:rPr>
        <w:t xml:space="preserve">s’ </w:t>
      </w:r>
      <w:r w:rsidRPr="00442D9E">
        <w:rPr>
          <w:rFonts w:cs="Arial"/>
          <w:color w:val="000000" w:themeColor="text1"/>
          <w:sz w:val="22"/>
          <w:szCs w:val="22"/>
        </w:rPr>
        <w:t>approaches and strategies. This includes all gender expressions and experiences, physical and mental abilities, cultural and ethnic identities, geographic settings, sexual orientations</w:t>
      </w:r>
      <w:r w:rsidR="00E628F9">
        <w:rPr>
          <w:rFonts w:cs="Arial"/>
          <w:color w:val="000000" w:themeColor="text1"/>
          <w:sz w:val="22"/>
          <w:szCs w:val="22"/>
        </w:rPr>
        <w:t>,</w:t>
      </w:r>
      <w:r w:rsidRPr="00442D9E">
        <w:rPr>
          <w:rFonts w:cs="Arial"/>
          <w:color w:val="000000" w:themeColor="text1"/>
          <w:sz w:val="22"/>
          <w:szCs w:val="22"/>
        </w:rPr>
        <w:t xml:space="preserve"> and religious affiliations. Differences in age and the needs of young people across all these areas should be considered. </w:t>
      </w:r>
      <w:r w:rsidR="00F33D2B" w:rsidRPr="00442D9E">
        <w:rPr>
          <w:rFonts w:cs="Arial"/>
          <w:color w:val="000000" w:themeColor="text1"/>
          <w:sz w:val="22"/>
          <w:szCs w:val="22"/>
        </w:rPr>
        <w:t>Heterogeneity exists within the general population, as well as within the priority populations, with health literacy, language spoken</w:t>
      </w:r>
      <w:r w:rsidR="00E628F9">
        <w:rPr>
          <w:rFonts w:cs="Arial"/>
          <w:color w:val="000000" w:themeColor="text1"/>
          <w:sz w:val="22"/>
          <w:szCs w:val="22"/>
        </w:rPr>
        <w:t>,</w:t>
      </w:r>
      <w:r w:rsidR="00F33D2B" w:rsidRPr="00442D9E">
        <w:rPr>
          <w:rFonts w:cs="Arial"/>
          <w:color w:val="000000" w:themeColor="text1"/>
          <w:sz w:val="22"/>
          <w:szCs w:val="22"/>
        </w:rPr>
        <w:t xml:space="preserve"> and socioeconomic factors potentially influencing when or if someone accesses sexual health services. </w:t>
      </w:r>
    </w:p>
    <w:p w14:paraId="5FA9AEBD" w14:textId="77777777" w:rsidR="00031E79" w:rsidRPr="00442D9E" w:rsidRDefault="00031E79" w:rsidP="00474386">
      <w:pPr>
        <w:pStyle w:val="BodyText"/>
        <w:spacing w:after="0"/>
        <w:jc w:val="both"/>
        <w:rPr>
          <w:rFonts w:cs="Arial"/>
          <w:color w:val="000000" w:themeColor="text1"/>
          <w:sz w:val="22"/>
          <w:szCs w:val="22"/>
        </w:rPr>
      </w:pPr>
    </w:p>
    <w:p w14:paraId="480BE41C" w14:textId="6CEF9EDF" w:rsidR="00031E79" w:rsidRPr="00442D9E" w:rsidRDefault="00031E79" w:rsidP="00397CF0">
      <w:pPr>
        <w:pStyle w:val="NormalWeb"/>
        <w:spacing w:before="0" w:beforeAutospacing="0" w:after="0" w:afterAutospacing="0"/>
        <w:jc w:val="both"/>
        <w:rPr>
          <w:rFonts w:cs="Arial"/>
          <w:color w:val="000000" w:themeColor="text1"/>
          <w:sz w:val="22"/>
          <w:szCs w:val="22"/>
        </w:rPr>
      </w:pPr>
      <w:r w:rsidRPr="00442D9E">
        <w:rPr>
          <w:rFonts w:cs="Arial"/>
          <w:color w:val="000000" w:themeColor="text1"/>
          <w:sz w:val="22"/>
          <w:szCs w:val="22"/>
        </w:rPr>
        <w:t>There are some data gaps, which means that the full picture of STI in some communities and within priority populations is unknown.</w:t>
      </w:r>
    </w:p>
    <w:p w14:paraId="2BAD24D5" w14:textId="7CF9CDFD" w:rsidR="00031E79" w:rsidRPr="00442D9E" w:rsidRDefault="00031E79" w:rsidP="008B43F1">
      <w:pPr>
        <w:pStyle w:val="NormalWeb"/>
        <w:numPr>
          <w:ilvl w:val="0"/>
          <w:numId w:val="22"/>
        </w:numPr>
        <w:spacing w:before="0" w:beforeAutospacing="0" w:after="0" w:afterAutospacing="0"/>
        <w:jc w:val="both"/>
        <w:rPr>
          <w:rFonts w:cs="Arial"/>
          <w:color w:val="000000" w:themeColor="text1"/>
          <w:sz w:val="22"/>
          <w:szCs w:val="22"/>
        </w:rPr>
      </w:pPr>
      <w:r w:rsidRPr="00442D9E">
        <w:rPr>
          <w:rFonts w:cs="Arial"/>
          <w:color w:val="000000" w:themeColor="text1"/>
          <w:sz w:val="22"/>
          <w:szCs w:val="22"/>
        </w:rPr>
        <w:fldChar w:fldCharType="begin"/>
      </w:r>
      <w:r w:rsidRPr="00442D9E">
        <w:rPr>
          <w:rFonts w:cs="Arial"/>
          <w:color w:val="000000" w:themeColor="text1"/>
          <w:sz w:val="22"/>
          <w:szCs w:val="22"/>
        </w:rPr>
        <w:instrText xml:space="preserve"> ADDIN ZOTERO_ITEM CSL_CITATION {"citationID":"mbKVrsLp","properties":{"formattedCitation":"\\super 16\\nosupersub{}","plainCitation":"16","dontUpdate":true,"noteIndex":0},"citationItems":[{"id":1264,"uris":["http://zotero.org/groups/4457130/items/292PR254"],"itemData":{"id":1264,"type":"article-journal","note":"publisher: Washington, DC","title":"Injustice at every turn: A report of the national transgender discrimination survey","author":[{"family":"Grant","given":"Jaime M"},{"family":"Motter","given":"Lisa A"},{"family":"Tanis","given":"Justin"}],"issued":{"date-parts":[["2011"]]}}}],"schema":"https://github.com/citation-style-language/schema/raw/master/csl-citation.json"} </w:instrText>
      </w:r>
      <w:r w:rsidRPr="00442D9E">
        <w:rPr>
          <w:rFonts w:cs="Arial"/>
          <w:color w:val="000000" w:themeColor="text1"/>
          <w:sz w:val="22"/>
          <w:szCs w:val="22"/>
        </w:rPr>
        <w:fldChar w:fldCharType="end"/>
      </w:r>
      <w:r w:rsidRPr="00442D9E">
        <w:rPr>
          <w:rFonts w:cs="Arial"/>
          <w:color w:val="000000" w:themeColor="text1"/>
          <w:sz w:val="22"/>
          <w:szCs w:val="22"/>
        </w:rPr>
        <w:t xml:space="preserve">Improved data and research </w:t>
      </w:r>
      <w:r w:rsidR="00F24940" w:rsidRPr="00442D9E">
        <w:rPr>
          <w:rFonts w:cs="Arial"/>
          <w:color w:val="000000" w:themeColor="text1"/>
          <w:sz w:val="22"/>
          <w:szCs w:val="22"/>
        </w:rPr>
        <w:t>are</w:t>
      </w:r>
      <w:r w:rsidRPr="00442D9E">
        <w:rPr>
          <w:rFonts w:cs="Arial"/>
          <w:color w:val="000000" w:themeColor="text1"/>
          <w:sz w:val="22"/>
          <w:szCs w:val="22"/>
        </w:rPr>
        <w:t xml:space="preserve"> needed to better understand the incidence and impact of STI for trans and gender-diverse communities.</w:t>
      </w:r>
      <w:r w:rsidR="008B43F1">
        <w:rPr>
          <w:rFonts w:ascii="ZWAdobeF" w:hAnsi="ZWAdobeF" w:cs="ZWAdobeF"/>
          <w:sz w:val="2"/>
          <w:szCs w:val="2"/>
        </w:rPr>
        <w:t>51F</w:t>
      </w:r>
      <w:r w:rsidRPr="00442D9E">
        <w:rPr>
          <w:rStyle w:val="EndnoteReference"/>
          <w:rFonts w:cs="Arial"/>
          <w:color w:val="000000" w:themeColor="text1"/>
          <w:sz w:val="22"/>
          <w:szCs w:val="22"/>
        </w:rPr>
        <w:endnoteReference w:id="51"/>
      </w:r>
      <w:r w:rsidRPr="00442D9E">
        <w:rPr>
          <w:rFonts w:cs="Arial"/>
          <w:color w:val="000000" w:themeColor="text1"/>
          <w:sz w:val="22"/>
          <w:szCs w:val="22"/>
        </w:rPr>
        <w:t xml:space="preserve"> </w:t>
      </w:r>
    </w:p>
    <w:p w14:paraId="00248F58" w14:textId="77777777" w:rsidR="00031E79" w:rsidRPr="00442D9E" w:rsidRDefault="00031E79" w:rsidP="008B43F1">
      <w:pPr>
        <w:pStyle w:val="NormalWeb"/>
        <w:numPr>
          <w:ilvl w:val="0"/>
          <w:numId w:val="22"/>
        </w:numPr>
        <w:spacing w:before="0" w:beforeAutospacing="0" w:after="0" w:afterAutospacing="0"/>
        <w:jc w:val="both"/>
        <w:rPr>
          <w:rFonts w:cs="Arial"/>
          <w:color w:val="000000" w:themeColor="text1"/>
          <w:sz w:val="22"/>
          <w:szCs w:val="22"/>
        </w:rPr>
      </w:pPr>
      <w:r w:rsidRPr="00442D9E">
        <w:rPr>
          <w:rFonts w:cs="Arial"/>
          <w:color w:val="000000" w:themeColor="text1"/>
          <w:sz w:val="22"/>
          <w:szCs w:val="22"/>
        </w:rPr>
        <w:t>The collection and classification of ethnicity data are not currently standardised across jurisdictions in Australia, making it hard to understand the realities facing people born overseas, people from non-English-speaking backgrounds and/or people from culturally and linguistically diverse backgrounds.</w:t>
      </w:r>
    </w:p>
    <w:p w14:paraId="5743171D" w14:textId="3FAEBC4F" w:rsidR="00031E79" w:rsidRPr="00442D9E" w:rsidRDefault="00031E79" w:rsidP="008B43F1">
      <w:pPr>
        <w:pStyle w:val="NormalWeb"/>
        <w:numPr>
          <w:ilvl w:val="0"/>
          <w:numId w:val="22"/>
        </w:numPr>
        <w:spacing w:before="0" w:beforeAutospacing="0" w:after="0" w:afterAutospacing="0"/>
        <w:jc w:val="both"/>
        <w:rPr>
          <w:rFonts w:cs="Arial"/>
          <w:color w:val="000000" w:themeColor="text1"/>
          <w:sz w:val="22"/>
          <w:szCs w:val="22"/>
        </w:rPr>
      </w:pPr>
      <w:r w:rsidRPr="00442D9E">
        <w:rPr>
          <w:rFonts w:cs="Arial"/>
          <w:color w:val="000000" w:themeColor="text1"/>
          <w:sz w:val="22"/>
          <w:szCs w:val="22"/>
        </w:rPr>
        <w:t>Age disaggregated data and research with and for young people under the age of 18, could be strengthened to better understand STI and sexual health considerations for diverse young people in different settings.</w:t>
      </w:r>
    </w:p>
    <w:p w14:paraId="2ECCAF9C" w14:textId="4B42A865" w:rsidR="00031E79" w:rsidRPr="00442D9E" w:rsidRDefault="00031E79" w:rsidP="008B43F1">
      <w:pPr>
        <w:pStyle w:val="NormalWeb"/>
        <w:numPr>
          <w:ilvl w:val="0"/>
          <w:numId w:val="22"/>
        </w:numPr>
        <w:spacing w:before="0" w:beforeAutospacing="0" w:after="0" w:afterAutospacing="0"/>
        <w:jc w:val="both"/>
        <w:rPr>
          <w:rFonts w:cs="Arial"/>
          <w:color w:val="000000" w:themeColor="text1"/>
          <w:sz w:val="22"/>
          <w:szCs w:val="22"/>
        </w:rPr>
      </w:pPr>
      <w:r w:rsidRPr="00442D9E">
        <w:rPr>
          <w:rFonts w:cs="Arial"/>
          <w:color w:val="000000" w:themeColor="text1"/>
          <w:sz w:val="22"/>
          <w:szCs w:val="22"/>
        </w:rPr>
        <w:t xml:space="preserve">Efforts to better disaggregate and analyse available STI data according to intersectional identities would be useful to inform policies and practice. </w:t>
      </w:r>
    </w:p>
    <w:p w14:paraId="107185B8" w14:textId="77777777" w:rsidR="00031E79" w:rsidRPr="00442D9E" w:rsidRDefault="00031E79" w:rsidP="00397CF0">
      <w:pPr>
        <w:pStyle w:val="NormalWeb"/>
        <w:spacing w:before="0" w:beforeAutospacing="0" w:after="0" w:afterAutospacing="0"/>
        <w:jc w:val="both"/>
        <w:rPr>
          <w:rFonts w:cs="Arial"/>
          <w:color w:val="000000" w:themeColor="text1"/>
          <w:sz w:val="22"/>
          <w:szCs w:val="22"/>
        </w:rPr>
      </w:pPr>
    </w:p>
    <w:p w14:paraId="232B53C9" w14:textId="77777777" w:rsidR="00031E79" w:rsidRPr="00442D9E" w:rsidRDefault="00031E79" w:rsidP="0025299A">
      <w:pPr>
        <w:pBdr>
          <w:top w:val="nil"/>
          <w:left w:val="nil"/>
          <w:bottom w:val="nil"/>
          <w:right w:val="nil"/>
          <w:between w:val="nil"/>
        </w:pBdr>
        <w:shd w:val="clear" w:color="auto" w:fill="FFFFFF"/>
        <w:jc w:val="both"/>
        <w:rPr>
          <w:rFonts w:cs="Arial"/>
          <w:color w:val="000000" w:themeColor="text1"/>
          <w:sz w:val="22"/>
          <w:szCs w:val="22"/>
        </w:rPr>
      </w:pPr>
    </w:p>
    <w:p w14:paraId="6941C76B" w14:textId="2221EB01" w:rsidR="00031E79" w:rsidRPr="007E1A00" w:rsidRDefault="00031E79" w:rsidP="007E1A00">
      <w:pPr>
        <w:pStyle w:val="Heading2"/>
        <w:rPr>
          <w:rFonts w:ascii="Arial" w:hAnsi="Arial" w:cs="Arial"/>
        </w:rPr>
      </w:pPr>
      <w:bookmarkStart w:id="63" w:name="_Toc138151587"/>
      <w:bookmarkStart w:id="64" w:name="_Toc138173796"/>
      <w:bookmarkStart w:id="65" w:name="_Toc146813398"/>
      <w:bookmarkStart w:id="66" w:name="_Toc150160960"/>
      <w:bookmarkStart w:id="67" w:name="_Toc163737186"/>
      <w:r w:rsidRPr="00442D9E">
        <w:rPr>
          <w:rFonts w:ascii="Arial" w:hAnsi="Arial" w:cs="Arial"/>
        </w:rPr>
        <w:t>7.1 Priority populations</w:t>
      </w:r>
      <w:bookmarkEnd w:id="63"/>
      <w:bookmarkEnd w:id="64"/>
      <w:bookmarkEnd w:id="65"/>
      <w:bookmarkEnd w:id="66"/>
      <w:bookmarkEnd w:id="67"/>
      <w:r w:rsidRPr="00442D9E">
        <w:rPr>
          <w:rFonts w:ascii="Arial" w:hAnsi="Arial" w:cs="Arial"/>
        </w:rPr>
        <w:t xml:space="preserve"> </w:t>
      </w:r>
    </w:p>
    <w:p w14:paraId="10CDB464" w14:textId="2A8F0BE9" w:rsidR="00031E79" w:rsidRPr="00442D9E" w:rsidRDefault="00031E79" w:rsidP="00397CF0">
      <w:pPr>
        <w:pBdr>
          <w:top w:val="nil"/>
          <w:left w:val="nil"/>
          <w:bottom w:val="nil"/>
          <w:right w:val="nil"/>
          <w:between w:val="nil"/>
        </w:pBdr>
        <w:shd w:val="clear" w:color="auto" w:fill="FFFFFF"/>
        <w:jc w:val="both"/>
        <w:rPr>
          <w:rFonts w:cs="Arial"/>
          <w:color w:val="000000" w:themeColor="text1"/>
          <w:sz w:val="22"/>
          <w:szCs w:val="22"/>
        </w:rPr>
      </w:pPr>
      <w:r w:rsidRPr="00442D9E">
        <w:rPr>
          <w:rFonts w:cs="Arial"/>
          <w:color w:val="000000" w:themeColor="text1"/>
          <w:sz w:val="22"/>
          <w:szCs w:val="22"/>
        </w:rPr>
        <w:t xml:space="preserve">This section outlines the priority populations who are most vulnerable to </w:t>
      </w:r>
      <w:r w:rsidR="008735B8">
        <w:rPr>
          <w:rFonts w:cs="Arial"/>
          <w:color w:val="000000" w:themeColor="text1"/>
          <w:sz w:val="22"/>
          <w:szCs w:val="22"/>
        </w:rPr>
        <w:t>STI</w:t>
      </w:r>
      <w:r w:rsidRPr="00442D9E">
        <w:rPr>
          <w:rFonts w:cs="Arial"/>
          <w:color w:val="000000" w:themeColor="text1"/>
          <w:sz w:val="22"/>
          <w:szCs w:val="22"/>
        </w:rPr>
        <w:t xml:space="preserve"> due to current known high rates of STI notifications and/or are under</w:t>
      </w:r>
      <w:r w:rsidR="00841F12">
        <w:rPr>
          <w:rFonts w:cs="Arial"/>
          <w:color w:val="000000" w:themeColor="text1"/>
          <w:sz w:val="22"/>
          <w:szCs w:val="22"/>
        </w:rPr>
        <w:t xml:space="preserve"> </w:t>
      </w:r>
      <w:r w:rsidRPr="00442D9E">
        <w:rPr>
          <w:rFonts w:cs="Arial"/>
          <w:color w:val="000000" w:themeColor="text1"/>
          <w:sz w:val="22"/>
          <w:szCs w:val="22"/>
        </w:rPr>
        <w:t>served by the existing healthcare system and</w:t>
      </w:r>
      <w:r w:rsidR="002E5E96">
        <w:rPr>
          <w:rFonts w:cs="Arial"/>
          <w:color w:val="000000" w:themeColor="text1"/>
          <w:sz w:val="22"/>
          <w:szCs w:val="22"/>
        </w:rPr>
        <w:t>/or</w:t>
      </w:r>
      <w:r w:rsidRPr="00442D9E">
        <w:rPr>
          <w:rFonts w:cs="Arial"/>
          <w:color w:val="000000" w:themeColor="text1"/>
          <w:sz w:val="22"/>
          <w:szCs w:val="22"/>
        </w:rPr>
        <w:t xml:space="preserve"> provision of sexual health services in Australia. A common theme in these communities is structural barriers to accessing sexual and other health services and/or consequential morbidities related to STI. The nine priority populations are:</w:t>
      </w:r>
    </w:p>
    <w:p w14:paraId="08FA7E48" w14:textId="77777777" w:rsidR="00031E79" w:rsidRPr="00442D9E" w:rsidRDefault="00031E79" w:rsidP="00397CF0">
      <w:pPr>
        <w:pBdr>
          <w:top w:val="nil"/>
          <w:left w:val="nil"/>
          <w:bottom w:val="nil"/>
          <w:right w:val="nil"/>
          <w:between w:val="nil"/>
        </w:pBdr>
        <w:shd w:val="clear" w:color="auto" w:fill="FFFFFF"/>
        <w:jc w:val="both"/>
        <w:rPr>
          <w:rFonts w:cs="Arial"/>
          <w:color w:val="000000" w:themeColor="text1"/>
          <w:sz w:val="22"/>
          <w:szCs w:val="22"/>
        </w:rPr>
      </w:pPr>
    </w:p>
    <w:p w14:paraId="7D6F94BC" w14:textId="4CC8ACB4"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Y</w:t>
      </w:r>
      <w:r w:rsidR="00031E79" w:rsidRPr="00442D9E">
        <w:rPr>
          <w:rFonts w:cs="Arial"/>
          <w:color w:val="000000" w:themeColor="text1"/>
          <w:sz w:val="22"/>
          <w:szCs w:val="22"/>
        </w:rPr>
        <w:t>oung people, aged 15-24</w:t>
      </w:r>
    </w:p>
    <w:p w14:paraId="7A686E92" w14:textId="49966509" w:rsidR="00031E79" w:rsidRPr="00442D9E" w:rsidRDefault="00031E79"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sidRPr="00442D9E">
        <w:rPr>
          <w:rFonts w:cs="Arial"/>
          <w:color w:val="000000" w:themeColor="text1"/>
          <w:sz w:val="22"/>
          <w:szCs w:val="22"/>
        </w:rPr>
        <w:t>Aboriginal and Torres Strait Islander</w:t>
      </w:r>
      <w:r w:rsidR="00DE63A8">
        <w:rPr>
          <w:rFonts w:cs="Arial"/>
          <w:color w:val="000000" w:themeColor="text1"/>
          <w:sz w:val="22"/>
          <w:szCs w:val="22"/>
        </w:rPr>
        <w:t xml:space="preserve"> peoples</w:t>
      </w:r>
    </w:p>
    <w:p w14:paraId="71F3315C" w14:textId="29AED679"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G</w:t>
      </w:r>
      <w:r w:rsidR="00031E79" w:rsidRPr="00442D9E">
        <w:rPr>
          <w:rFonts w:cs="Arial"/>
          <w:color w:val="000000" w:themeColor="text1"/>
          <w:sz w:val="22"/>
          <w:szCs w:val="22"/>
        </w:rPr>
        <w:t>ay, bisexual and other men who have sex with men</w:t>
      </w:r>
    </w:p>
    <w:p w14:paraId="123996CF" w14:textId="3366AF62"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442D9E">
        <w:rPr>
          <w:rFonts w:cs="Arial"/>
          <w:color w:val="000000" w:themeColor="text1"/>
          <w:sz w:val="22"/>
          <w:szCs w:val="22"/>
        </w:rPr>
        <w:t>eople from culturally and linguistically diverse backgrounds</w:t>
      </w:r>
      <w:r w:rsidR="00F128C7" w:rsidRPr="00442D9E">
        <w:rPr>
          <w:rFonts w:cs="Arial"/>
          <w:color w:val="000000" w:themeColor="text1"/>
          <w:sz w:val="22"/>
          <w:szCs w:val="22"/>
        </w:rPr>
        <w:t xml:space="preserve">, </w:t>
      </w:r>
      <w:r w:rsidR="00CD464A" w:rsidRPr="00442D9E">
        <w:rPr>
          <w:rFonts w:cs="Arial"/>
          <w:color w:val="000000" w:themeColor="text1"/>
          <w:sz w:val="22"/>
          <w:szCs w:val="22"/>
        </w:rPr>
        <w:t>including people born overseas and international students, particularly those from non-English-speaking backgrounds</w:t>
      </w:r>
    </w:p>
    <w:p w14:paraId="4273D8CD" w14:textId="05630AC3"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S</w:t>
      </w:r>
      <w:r w:rsidR="00031E79" w:rsidRPr="00442D9E">
        <w:rPr>
          <w:rFonts w:cs="Arial"/>
          <w:color w:val="000000" w:themeColor="text1"/>
          <w:sz w:val="22"/>
          <w:szCs w:val="22"/>
        </w:rPr>
        <w:t>ex workers</w:t>
      </w:r>
    </w:p>
    <w:p w14:paraId="687A28D9" w14:textId="43A08B3E"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T</w:t>
      </w:r>
      <w:r w:rsidR="00031E79" w:rsidRPr="00442D9E">
        <w:rPr>
          <w:rFonts w:cs="Arial"/>
          <w:color w:val="000000" w:themeColor="text1"/>
          <w:sz w:val="22"/>
          <w:szCs w:val="22"/>
        </w:rPr>
        <w:t>ravellers and migrant workers</w:t>
      </w:r>
    </w:p>
    <w:p w14:paraId="3D575661" w14:textId="010AB067"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442D9E">
        <w:rPr>
          <w:rFonts w:cs="Arial"/>
          <w:color w:val="000000" w:themeColor="text1"/>
          <w:sz w:val="22"/>
          <w:szCs w:val="22"/>
        </w:rPr>
        <w:t>eople who are trans and gender diverse</w:t>
      </w:r>
    </w:p>
    <w:p w14:paraId="54175C57" w14:textId="121E21F5"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442D9E">
        <w:rPr>
          <w:rFonts w:cs="Arial"/>
          <w:color w:val="000000" w:themeColor="text1"/>
          <w:sz w:val="22"/>
          <w:szCs w:val="22"/>
        </w:rPr>
        <w:t>eople experiencing housing insecurity</w:t>
      </w:r>
    </w:p>
    <w:p w14:paraId="64594379" w14:textId="6A88A332" w:rsidR="00031E79" w:rsidRPr="00442D9E" w:rsidRDefault="004416F0" w:rsidP="008B43F1">
      <w:pPr>
        <w:pStyle w:val="ListParagraph"/>
        <w:numPr>
          <w:ilvl w:val="0"/>
          <w:numId w:val="23"/>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442D9E">
        <w:rPr>
          <w:rFonts w:cs="Arial"/>
          <w:color w:val="000000" w:themeColor="text1"/>
          <w:sz w:val="22"/>
          <w:szCs w:val="22"/>
        </w:rPr>
        <w:t>eople who have had a STI within the previous 12 months</w:t>
      </w:r>
      <w:r w:rsidR="008E3A35" w:rsidRPr="00442D9E">
        <w:rPr>
          <w:rFonts w:cs="Arial"/>
          <w:color w:val="000000" w:themeColor="text1"/>
          <w:sz w:val="22"/>
          <w:szCs w:val="22"/>
        </w:rPr>
        <w:t>.</w:t>
      </w:r>
    </w:p>
    <w:p w14:paraId="6B69B9B4" w14:textId="77777777" w:rsidR="00031E79" w:rsidRPr="00442D9E" w:rsidRDefault="00031E79" w:rsidP="00397CF0">
      <w:pPr>
        <w:pBdr>
          <w:top w:val="nil"/>
          <w:left w:val="nil"/>
          <w:bottom w:val="nil"/>
          <w:right w:val="nil"/>
          <w:between w:val="nil"/>
        </w:pBdr>
        <w:shd w:val="clear" w:color="auto" w:fill="FFFFFF"/>
        <w:jc w:val="both"/>
        <w:rPr>
          <w:rFonts w:cs="Arial"/>
          <w:color w:val="000000" w:themeColor="text1"/>
          <w:sz w:val="22"/>
          <w:szCs w:val="22"/>
        </w:rPr>
      </w:pPr>
    </w:p>
    <w:p w14:paraId="2F374701" w14:textId="77777777" w:rsidR="00927BED" w:rsidRPr="00442D9E" w:rsidRDefault="00031E79" w:rsidP="00927BED">
      <w:pPr>
        <w:pStyle w:val="BodyText"/>
        <w:spacing w:after="0"/>
        <w:jc w:val="both"/>
        <w:rPr>
          <w:rFonts w:cs="Arial"/>
          <w:color w:val="000000" w:themeColor="text1"/>
          <w:sz w:val="22"/>
          <w:szCs w:val="22"/>
        </w:rPr>
      </w:pPr>
      <w:r w:rsidRPr="00442D9E">
        <w:rPr>
          <w:rFonts w:cs="Arial"/>
          <w:color w:val="000000" w:themeColor="text1"/>
          <w:sz w:val="22"/>
          <w:szCs w:val="22"/>
        </w:rPr>
        <w:t>It should be noted that an individual could be associated with one or more priority population group</w:t>
      </w:r>
      <w:r w:rsidR="005E76E6">
        <w:rPr>
          <w:rFonts w:cs="Arial"/>
          <w:color w:val="000000" w:themeColor="text1"/>
          <w:sz w:val="22"/>
          <w:szCs w:val="22"/>
        </w:rPr>
        <w:t>s</w:t>
      </w:r>
      <w:r w:rsidRPr="00442D9E">
        <w:rPr>
          <w:rFonts w:cs="Arial"/>
          <w:color w:val="000000" w:themeColor="text1"/>
          <w:sz w:val="22"/>
          <w:szCs w:val="22"/>
        </w:rPr>
        <w:t xml:space="preserve"> according to age, sexual orientation</w:t>
      </w:r>
      <w:r w:rsidR="00BE0568">
        <w:rPr>
          <w:rFonts w:cs="Arial"/>
          <w:color w:val="000000" w:themeColor="text1"/>
          <w:sz w:val="22"/>
          <w:szCs w:val="22"/>
        </w:rPr>
        <w:t>,</w:t>
      </w:r>
      <w:r w:rsidRPr="00442D9E">
        <w:rPr>
          <w:rFonts w:cs="Arial"/>
          <w:color w:val="000000" w:themeColor="text1"/>
          <w:sz w:val="22"/>
          <w:szCs w:val="22"/>
        </w:rPr>
        <w:t xml:space="preserve"> gender identity, sexual behaviour, work practices</w:t>
      </w:r>
      <w:r w:rsidR="00BE0568">
        <w:rPr>
          <w:rFonts w:cs="Arial"/>
          <w:color w:val="000000" w:themeColor="text1"/>
          <w:sz w:val="22"/>
          <w:szCs w:val="22"/>
        </w:rPr>
        <w:t>,</w:t>
      </w:r>
      <w:r w:rsidRPr="00442D9E">
        <w:rPr>
          <w:rFonts w:cs="Arial"/>
          <w:color w:val="000000" w:themeColor="text1"/>
          <w:sz w:val="22"/>
          <w:szCs w:val="22"/>
        </w:rPr>
        <w:t xml:space="preserve"> and cultural background</w:t>
      </w:r>
      <w:r w:rsidR="00BE0568">
        <w:rPr>
          <w:rFonts w:cs="Arial"/>
          <w:color w:val="000000" w:themeColor="text1"/>
          <w:sz w:val="22"/>
          <w:szCs w:val="22"/>
        </w:rPr>
        <w:t>.</w:t>
      </w:r>
      <w:r w:rsidRPr="00442D9E">
        <w:rPr>
          <w:rFonts w:cs="Arial"/>
          <w:color w:val="000000" w:themeColor="text1"/>
          <w:sz w:val="22"/>
          <w:szCs w:val="22"/>
        </w:rPr>
        <w:t xml:space="preserve"> </w:t>
      </w:r>
      <w:r w:rsidR="00BE0568">
        <w:rPr>
          <w:rFonts w:cs="Arial"/>
          <w:color w:val="000000" w:themeColor="text1"/>
          <w:sz w:val="22"/>
          <w:szCs w:val="22"/>
        </w:rPr>
        <w:t>These characteristics</w:t>
      </w:r>
      <w:r w:rsidRPr="00442D9E">
        <w:rPr>
          <w:rFonts w:cs="Arial"/>
          <w:color w:val="000000" w:themeColor="text1"/>
          <w:sz w:val="22"/>
          <w:szCs w:val="22"/>
        </w:rPr>
        <w:t xml:space="preserve"> can change over time. Recognising the complex and layered nature of people’s identities and lived experiences and engaging diversely within community groups is essential.</w:t>
      </w:r>
      <w:r w:rsidR="00927BED">
        <w:rPr>
          <w:rFonts w:cs="Arial"/>
          <w:color w:val="000000" w:themeColor="text1"/>
          <w:sz w:val="22"/>
          <w:szCs w:val="22"/>
        </w:rPr>
        <w:t xml:space="preserve"> </w:t>
      </w:r>
      <w:r w:rsidR="00927BED" w:rsidRPr="00442D9E">
        <w:rPr>
          <w:rFonts w:cs="Arial"/>
          <w:color w:val="000000" w:themeColor="text1"/>
          <w:sz w:val="22"/>
          <w:szCs w:val="22"/>
        </w:rPr>
        <w:t xml:space="preserve">STI affect people differently. Within each priority population, attention should be paid to diversity in sexual orientation and gender identity. </w:t>
      </w:r>
    </w:p>
    <w:p w14:paraId="22C564F2" w14:textId="76ABAD87" w:rsidR="00031E79" w:rsidRPr="00442D9E" w:rsidRDefault="00031E79" w:rsidP="00BB211D">
      <w:pPr>
        <w:jc w:val="both"/>
        <w:rPr>
          <w:rFonts w:cs="Arial"/>
          <w:color w:val="000000" w:themeColor="text1"/>
          <w:sz w:val="22"/>
          <w:szCs w:val="22"/>
        </w:rPr>
      </w:pPr>
    </w:p>
    <w:p w14:paraId="40B7BFEF" w14:textId="77777777" w:rsidR="00031E79" w:rsidRPr="00442D9E" w:rsidRDefault="00031E79" w:rsidP="00BB211D">
      <w:pPr>
        <w:jc w:val="both"/>
        <w:rPr>
          <w:rFonts w:cs="Arial"/>
          <w:color w:val="000000" w:themeColor="text1"/>
          <w:sz w:val="22"/>
          <w:szCs w:val="22"/>
        </w:rPr>
      </w:pPr>
    </w:p>
    <w:p w14:paraId="75D90AB0" w14:textId="05A457B3" w:rsidR="00031E79" w:rsidRPr="00442D9E" w:rsidRDefault="00031E79" w:rsidP="4E112BA1">
      <w:pPr>
        <w:pBdr>
          <w:top w:val="nil"/>
          <w:left w:val="nil"/>
          <w:bottom w:val="nil"/>
          <w:right w:val="nil"/>
          <w:between w:val="nil"/>
        </w:pBdr>
        <w:shd w:val="clear" w:color="auto" w:fill="FFFFFF" w:themeFill="background1"/>
        <w:jc w:val="both"/>
        <w:rPr>
          <w:rFonts w:cs="Arial"/>
          <w:color w:val="000000" w:themeColor="text1"/>
          <w:sz w:val="22"/>
          <w:szCs w:val="22"/>
        </w:rPr>
      </w:pPr>
      <w:r w:rsidRPr="00442D9E">
        <w:rPr>
          <w:rFonts w:cs="Arial"/>
          <w:color w:val="000000" w:themeColor="text1"/>
          <w:sz w:val="22"/>
          <w:szCs w:val="22"/>
        </w:rPr>
        <w:lastRenderedPageBreak/>
        <w:t>Some groups or communities experience significant inequities in accessing health services and in their experience of healthcare and health outcomes. This is reflected in the epidemiology and also relates to enduring or systemic structural barriers to accessing health services. Disaggregating, understanding</w:t>
      </w:r>
      <w:r w:rsidR="000E33DE">
        <w:rPr>
          <w:rFonts w:cs="Arial"/>
          <w:color w:val="000000" w:themeColor="text1"/>
          <w:sz w:val="22"/>
          <w:szCs w:val="22"/>
        </w:rPr>
        <w:t>,</w:t>
      </w:r>
      <w:r w:rsidRPr="00442D9E">
        <w:rPr>
          <w:rFonts w:cs="Arial"/>
          <w:color w:val="000000" w:themeColor="text1"/>
          <w:sz w:val="22"/>
          <w:szCs w:val="22"/>
        </w:rPr>
        <w:t xml:space="preserve"> and responding to the epidemiology while addressing the structural determinants of health will enhance the likelihood of success in achieving the goals of this strategy.</w:t>
      </w:r>
    </w:p>
    <w:p w14:paraId="4385295B" w14:textId="51727475" w:rsidR="00031E79" w:rsidRPr="00442D9E" w:rsidRDefault="00031E79" w:rsidP="00E07F61">
      <w:pPr>
        <w:pStyle w:val="NormalWeb"/>
        <w:tabs>
          <w:tab w:val="left" w:pos="3980"/>
        </w:tabs>
        <w:jc w:val="both"/>
        <w:rPr>
          <w:rFonts w:cs="Arial"/>
          <w:b/>
          <w:bCs/>
          <w:color w:val="000000" w:themeColor="text1"/>
          <w:sz w:val="22"/>
          <w:szCs w:val="22"/>
        </w:rPr>
      </w:pPr>
      <w:r w:rsidRPr="00442D9E">
        <w:rPr>
          <w:rFonts w:cs="Arial"/>
          <w:b/>
          <w:bCs/>
          <w:color w:val="000000" w:themeColor="text1"/>
          <w:sz w:val="22"/>
          <w:szCs w:val="22"/>
        </w:rPr>
        <w:t>Considering priority populations</w:t>
      </w:r>
      <w:r w:rsidRPr="00442D9E">
        <w:rPr>
          <w:rFonts w:cs="Arial"/>
          <w:b/>
          <w:bCs/>
          <w:color w:val="000000" w:themeColor="text1"/>
          <w:sz w:val="22"/>
          <w:szCs w:val="22"/>
        </w:rPr>
        <w:tab/>
      </w:r>
    </w:p>
    <w:p w14:paraId="51D36D9C" w14:textId="3756F719" w:rsidR="06DE5C08" w:rsidRDefault="2A18D9C9" w:rsidP="06DE5C08">
      <w:pPr>
        <w:pStyle w:val="NormalWeb"/>
        <w:jc w:val="both"/>
        <w:rPr>
          <w:rFonts w:eastAsia="Calibri" w:cs="Arial"/>
          <w:color w:val="000000" w:themeColor="text1"/>
          <w:sz w:val="22"/>
          <w:szCs w:val="22"/>
        </w:rPr>
      </w:pPr>
      <w:r w:rsidRPr="06DE5C08">
        <w:rPr>
          <w:rFonts w:eastAsia="Calibri" w:cs="Arial"/>
          <w:color w:val="000000" w:themeColor="text1"/>
          <w:sz w:val="22"/>
          <w:szCs w:val="22"/>
        </w:rPr>
        <w:t>Targeted approaches are needed to address STI testing and treatment uptake in specific priority populations and geographic locations. STI prevention education initiatives must buil</w:t>
      </w:r>
      <w:r w:rsidR="003007CC">
        <w:rPr>
          <w:rFonts w:eastAsia="Calibri" w:cs="Arial"/>
          <w:color w:val="000000" w:themeColor="text1"/>
          <w:sz w:val="22"/>
          <w:szCs w:val="22"/>
        </w:rPr>
        <w:t>d</w:t>
      </w:r>
      <w:r w:rsidRPr="06DE5C08">
        <w:rPr>
          <w:rFonts w:eastAsia="Calibri" w:cs="Arial"/>
          <w:color w:val="000000" w:themeColor="text1"/>
          <w:sz w:val="22"/>
          <w:szCs w:val="22"/>
        </w:rPr>
        <w:t xml:space="preserve"> the skills and confidence of priority populations in accessing and navigating the healthcare system to support increased STI testing and treatment – including increased promotion of referral pathways to appropriate health services. Targeted approaches should also address social and system-related aspects includ</w:t>
      </w:r>
      <w:r w:rsidR="7B5CBDD0" w:rsidRPr="06DE5C08">
        <w:rPr>
          <w:rFonts w:eastAsia="Calibri" w:cs="Arial"/>
          <w:color w:val="000000" w:themeColor="text1"/>
          <w:sz w:val="22"/>
          <w:szCs w:val="22"/>
        </w:rPr>
        <w:t>ing</w:t>
      </w:r>
      <w:r w:rsidRPr="06DE5C08">
        <w:rPr>
          <w:rFonts w:eastAsia="Calibri" w:cs="Arial"/>
          <w:color w:val="000000" w:themeColor="text1"/>
          <w:sz w:val="22"/>
          <w:szCs w:val="22"/>
        </w:rPr>
        <w:t xml:space="preserve"> physical access to testing, delivery of test results, costs and concerns about privacy and confidentiality, particularly in smaller and rural and remote communities.</w:t>
      </w:r>
    </w:p>
    <w:p w14:paraId="524581E9" w14:textId="71C37115" w:rsidR="00031E79" w:rsidRPr="00442D9E" w:rsidRDefault="21957A26" w:rsidP="06DE5C08">
      <w:pPr>
        <w:pBdr>
          <w:top w:val="nil"/>
          <w:left w:val="nil"/>
          <w:bottom w:val="nil"/>
          <w:right w:val="nil"/>
          <w:between w:val="nil"/>
        </w:pBdr>
        <w:shd w:val="clear" w:color="auto" w:fill="FFFFFF" w:themeFill="background1"/>
        <w:jc w:val="both"/>
        <w:rPr>
          <w:rFonts w:cs="Arial"/>
          <w:color w:val="000000" w:themeColor="text1"/>
          <w:sz w:val="22"/>
          <w:szCs w:val="22"/>
        </w:rPr>
      </w:pPr>
      <w:r w:rsidRPr="06DE5C08">
        <w:rPr>
          <w:rFonts w:cs="Arial"/>
          <w:color w:val="000000" w:themeColor="text1"/>
          <w:sz w:val="22"/>
          <w:szCs w:val="22"/>
        </w:rPr>
        <w:t>Stigma complicates providing health services for people with STI. Behaviours that may be sensitive to disclose or discuss, and the fact that STI are found beyond groups typically characterised by demographics and sexual behaviours alone make it difficult to identify people and communities most likely to have STI</w:t>
      </w:r>
      <w:r w:rsidR="2A18D9C9" w:rsidRPr="06DE5C08">
        <w:rPr>
          <w:rFonts w:cs="Arial"/>
          <w:color w:val="000000" w:themeColor="text1"/>
          <w:sz w:val="22"/>
          <w:szCs w:val="22"/>
        </w:rPr>
        <w:t>.</w:t>
      </w:r>
      <w:r w:rsidR="008B43F1">
        <w:rPr>
          <w:rFonts w:ascii="ZWAdobeF" w:hAnsi="ZWAdobeF" w:cs="ZWAdobeF"/>
          <w:sz w:val="2"/>
          <w:szCs w:val="2"/>
        </w:rPr>
        <w:t>52F</w:t>
      </w:r>
      <w:r w:rsidR="00031E79" w:rsidRPr="00B70B35">
        <w:rPr>
          <w:rFonts w:cs="Arial"/>
          <w:color w:val="000000" w:themeColor="text1"/>
          <w:sz w:val="22"/>
          <w:szCs w:val="22"/>
          <w:vertAlign w:val="superscript"/>
        </w:rPr>
        <w:endnoteReference w:id="52"/>
      </w:r>
      <w:r w:rsidR="2A18D9C9" w:rsidRPr="06DE5C08">
        <w:rPr>
          <w:rFonts w:cs="Arial"/>
          <w:color w:val="000000" w:themeColor="text1"/>
          <w:sz w:val="22"/>
          <w:szCs w:val="22"/>
        </w:rPr>
        <w:t xml:space="preserve"> Previous experiences of discrimination or fear of mistreatment may result in a reluctance to continue to access services. Recent studies have shown that communities favour specialised services and services that employ peers </w:t>
      </w:r>
      <w:r w:rsidR="5AC40D94" w:rsidRPr="06DE5C08">
        <w:rPr>
          <w:rFonts w:cs="Arial"/>
          <w:color w:val="000000" w:themeColor="text1"/>
          <w:sz w:val="22"/>
          <w:szCs w:val="22"/>
        </w:rPr>
        <w:t>because the</w:t>
      </w:r>
      <w:r w:rsidR="2A18D9C9" w:rsidRPr="06DE5C08">
        <w:rPr>
          <w:rFonts w:cs="Arial"/>
          <w:color w:val="000000" w:themeColor="text1"/>
          <w:sz w:val="22"/>
          <w:szCs w:val="22"/>
        </w:rPr>
        <w:t xml:space="preserve"> fragmented structure of health services is a barrier to accessing </w:t>
      </w:r>
      <w:r w:rsidR="7B5CBDD0" w:rsidRPr="06DE5C08">
        <w:rPr>
          <w:rFonts w:cs="Arial"/>
          <w:color w:val="000000" w:themeColor="text1"/>
          <w:sz w:val="22"/>
          <w:szCs w:val="22"/>
        </w:rPr>
        <w:t>these</w:t>
      </w:r>
      <w:r w:rsidR="2A18D9C9" w:rsidRPr="06DE5C08">
        <w:rPr>
          <w:rFonts w:cs="Arial"/>
          <w:color w:val="000000" w:themeColor="text1"/>
          <w:sz w:val="22"/>
          <w:szCs w:val="22"/>
        </w:rPr>
        <w:t xml:space="preserve"> services.</w:t>
      </w:r>
      <w:r w:rsidR="008B43F1">
        <w:rPr>
          <w:rFonts w:ascii="ZWAdobeF" w:hAnsi="ZWAdobeF" w:cs="ZWAdobeF"/>
          <w:sz w:val="2"/>
          <w:szCs w:val="2"/>
        </w:rPr>
        <w:t>53F</w:t>
      </w:r>
      <w:r w:rsidR="00031E79" w:rsidRPr="00B70B35">
        <w:rPr>
          <w:rFonts w:cs="Arial"/>
          <w:color w:val="000000" w:themeColor="text1"/>
          <w:sz w:val="22"/>
          <w:szCs w:val="22"/>
          <w:vertAlign w:val="superscript"/>
        </w:rPr>
        <w:endnoteReference w:id="53"/>
      </w:r>
      <w:r w:rsidR="2A18D9C9" w:rsidRPr="06DE5C08">
        <w:rPr>
          <w:rFonts w:cs="Arial"/>
          <w:color w:val="000000" w:themeColor="text1"/>
          <w:sz w:val="22"/>
          <w:szCs w:val="22"/>
        </w:rPr>
        <w:t xml:space="preserve"> </w:t>
      </w:r>
      <w:r w:rsidR="405D156E" w:rsidRPr="06DE5C08">
        <w:rPr>
          <w:rFonts w:cs="Arial"/>
          <w:color w:val="000000" w:themeColor="text1"/>
          <w:sz w:val="22"/>
          <w:szCs w:val="22"/>
        </w:rPr>
        <w:t>Localised surveillance and research are important for ensuring appropriate responses within local contexts.</w:t>
      </w:r>
      <w:r w:rsidR="008B43F1">
        <w:rPr>
          <w:rFonts w:ascii="ZWAdobeF" w:hAnsi="ZWAdobeF" w:cs="ZWAdobeF"/>
          <w:sz w:val="2"/>
          <w:szCs w:val="2"/>
        </w:rPr>
        <w:t>54F</w:t>
      </w:r>
      <w:r w:rsidR="007440B8" w:rsidRPr="00B70B35">
        <w:rPr>
          <w:rFonts w:cs="Arial"/>
          <w:color w:val="000000" w:themeColor="text1"/>
          <w:sz w:val="22"/>
          <w:szCs w:val="22"/>
          <w:vertAlign w:val="superscript"/>
        </w:rPr>
        <w:endnoteReference w:id="54"/>
      </w:r>
      <w:r w:rsidR="005E76E6" w:rsidRPr="00E30BF3">
        <w:rPr>
          <w:rFonts w:cs="Arial"/>
          <w:color w:val="000000" w:themeColor="text1"/>
          <w:sz w:val="22"/>
          <w:szCs w:val="22"/>
          <w:vertAlign w:val="superscript"/>
        </w:rPr>
        <w:t>,</w:t>
      </w:r>
      <w:r w:rsidR="00C13B28">
        <w:rPr>
          <w:rFonts w:cs="Arial"/>
          <w:color w:val="000000" w:themeColor="text1"/>
          <w:sz w:val="22"/>
          <w:szCs w:val="22"/>
          <w:vertAlign w:val="superscript"/>
        </w:rPr>
        <w:t xml:space="preserve"> </w:t>
      </w:r>
      <w:r w:rsidR="008B43F1">
        <w:rPr>
          <w:rFonts w:ascii="ZWAdobeF" w:hAnsi="ZWAdobeF" w:cs="ZWAdobeF"/>
          <w:sz w:val="2"/>
          <w:szCs w:val="2"/>
        </w:rPr>
        <w:t>55F</w:t>
      </w:r>
      <w:r w:rsidR="0037384D" w:rsidRPr="00442D9E">
        <w:rPr>
          <w:rStyle w:val="EndnoteReference"/>
          <w:rFonts w:cs="Arial"/>
          <w:color w:val="000000" w:themeColor="text1"/>
          <w:sz w:val="22"/>
          <w:szCs w:val="22"/>
        </w:rPr>
        <w:endnoteReference w:id="55"/>
      </w:r>
    </w:p>
    <w:p w14:paraId="0B88AFF4" w14:textId="71D6183B" w:rsidR="00031E79" w:rsidRPr="00442D9E" w:rsidRDefault="0EDEE7FA" w:rsidP="06DE5C08">
      <w:pPr>
        <w:pStyle w:val="NormalWeb"/>
        <w:spacing w:line="259" w:lineRule="auto"/>
        <w:jc w:val="both"/>
        <w:rPr>
          <w:rFonts w:eastAsia="Calibri" w:cs="Arial"/>
          <w:color w:val="000000" w:themeColor="text1"/>
          <w:sz w:val="22"/>
          <w:szCs w:val="22"/>
        </w:rPr>
      </w:pPr>
      <w:r w:rsidRPr="06DE5C08">
        <w:rPr>
          <w:rFonts w:eastAsia="Calibri" w:cs="Arial"/>
          <w:color w:val="000000" w:themeColor="text1"/>
          <w:sz w:val="22"/>
          <w:szCs w:val="22"/>
        </w:rPr>
        <w:t>Co-designing and co-delivering integrated services is an effective and ethical approach to meeting diverse community needs in an accessible and non-stigmatising way</w:t>
      </w:r>
      <w:r w:rsidR="2A18D9C9" w:rsidRPr="06DE5C08">
        <w:rPr>
          <w:rFonts w:eastAsia="Calibri" w:cs="Arial"/>
          <w:color w:val="000000" w:themeColor="text1"/>
          <w:sz w:val="22"/>
          <w:szCs w:val="22"/>
        </w:rPr>
        <w:t>.</w:t>
      </w:r>
      <w:r w:rsidR="008B43F1">
        <w:rPr>
          <w:rFonts w:ascii="ZWAdobeF" w:eastAsia="Calibri" w:hAnsi="ZWAdobeF" w:cs="ZWAdobeF"/>
          <w:sz w:val="2"/>
          <w:szCs w:val="2"/>
        </w:rPr>
        <w:t>56F</w:t>
      </w:r>
      <w:r w:rsidR="00031E79" w:rsidRPr="00B70B35">
        <w:rPr>
          <w:rFonts w:eastAsia="Calibri" w:cs="Arial"/>
          <w:color w:val="000000" w:themeColor="text1"/>
          <w:sz w:val="22"/>
          <w:szCs w:val="22"/>
          <w:vertAlign w:val="superscript"/>
        </w:rPr>
        <w:endnoteReference w:id="56"/>
      </w:r>
      <w:r w:rsidR="2A18D9C9" w:rsidRPr="06DE5C08">
        <w:rPr>
          <w:rFonts w:eastAsia="Calibri" w:cs="Arial"/>
          <w:color w:val="000000" w:themeColor="text1"/>
          <w:sz w:val="22"/>
          <w:szCs w:val="22"/>
        </w:rPr>
        <w:t xml:space="preserve"> The inclusion and active engagement of young people, including those aged 15-17 years, as partners and co-designers in strategy development and implementation is important for all priority populations. There must be mechanisms and resources </w:t>
      </w:r>
      <w:r w:rsidR="009E2DE8">
        <w:rPr>
          <w:rFonts w:eastAsia="Calibri" w:cs="Arial"/>
          <w:color w:val="000000" w:themeColor="text1"/>
          <w:sz w:val="22"/>
          <w:szCs w:val="22"/>
        </w:rPr>
        <w:t>to</w:t>
      </w:r>
      <w:r w:rsidR="2A18D9C9" w:rsidRPr="06DE5C08">
        <w:rPr>
          <w:rFonts w:eastAsia="Calibri" w:cs="Arial"/>
          <w:color w:val="000000" w:themeColor="text1"/>
          <w:sz w:val="22"/>
          <w:szCs w:val="22"/>
        </w:rPr>
        <w:t xml:space="preserve"> ensur</w:t>
      </w:r>
      <w:r w:rsidR="009E2DE8">
        <w:rPr>
          <w:rFonts w:eastAsia="Calibri" w:cs="Arial"/>
          <w:color w:val="000000" w:themeColor="text1"/>
          <w:sz w:val="22"/>
          <w:szCs w:val="22"/>
        </w:rPr>
        <w:t>e</w:t>
      </w:r>
      <w:r w:rsidR="2A18D9C9" w:rsidRPr="06DE5C08">
        <w:rPr>
          <w:rFonts w:eastAsia="Calibri" w:cs="Arial"/>
          <w:color w:val="000000" w:themeColor="text1"/>
          <w:sz w:val="22"/>
          <w:szCs w:val="22"/>
        </w:rPr>
        <w:t xml:space="preserve"> co-design occurs with young people who are selected based on age and also those who belong to other priority populations.</w:t>
      </w:r>
    </w:p>
    <w:p w14:paraId="76646702" w14:textId="4338EF16" w:rsidR="00031E79" w:rsidRPr="00442D9E" w:rsidRDefault="00031E79" w:rsidP="00BB211D">
      <w:pPr>
        <w:jc w:val="both"/>
        <w:rPr>
          <w:rFonts w:cs="Arial"/>
          <w:color w:val="000000" w:themeColor="text1"/>
          <w:sz w:val="22"/>
          <w:szCs w:val="22"/>
        </w:rPr>
      </w:pPr>
      <w:r w:rsidRPr="00442D9E">
        <w:rPr>
          <w:rFonts w:cs="Arial"/>
          <w:color w:val="000000" w:themeColor="text1"/>
          <w:sz w:val="22"/>
          <w:szCs w:val="22"/>
        </w:rPr>
        <w:t>Practically, consideration of priority populations means:</w:t>
      </w:r>
    </w:p>
    <w:p w14:paraId="63442E86" w14:textId="1F1D7614" w:rsidR="00031E79" w:rsidRPr="00442D9E" w:rsidRDefault="004416F0" w:rsidP="00A0418A">
      <w:pPr>
        <w:pStyle w:val="Dotpointinfo"/>
        <w:rPr>
          <w:rFonts w:cs="Arial"/>
        </w:rPr>
      </w:pPr>
      <w:r>
        <w:rPr>
          <w:rFonts w:cs="Arial"/>
        </w:rPr>
        <w:t>B</w:t>
      </w:r>
      <w:r w:rsidR="00031E79" w:rsidRPr="00442D9E">
        <w:rPr>
          <w:rFonts w:cs="Arial"/>
        </w:rPr>
        <w:t xml:space="preserve">eing aware of who is and is not engaging with sexual health services within priority populations </w:t>
      </w:r>
    </w:p>
    <w:p w14:paraId="6617F2B4" w14:textId="00F527BF" w:rsidR="00031E79" w:rsidRPr="00442D9E" w:rsidRDefault="004416F0" w:rsidP="00A0418A">
      <w:pPr>
        <w:pStyle w:val="Dotpointinfo"/>
        <w:rPr>
          <w:rFonts w:cs="Arial"/>
        </w:rPr>
      </w:pPr>
      <w:r>
        <w:rPr>
          <w:rFonts w:cs="Arial"/>
        </w:rPr>
        <w:t>E</w:t>
      </w:r>
      <w:r w:rsidR="00031E79" w:rsidRPr="00442D9E">
        <w:rPr>
          <w:rFonts w:cs="Arial"/>
        </w:rPr>
        <w:t>nsuring that health promotion and information resources, materials and training are offered using culturally appropriate terminology and translated into relevant languages other than English</w:t>
      </w:r>
    </w:p>
    <w:p w14:paraId="33496930" w14:textId="70B4EF33" w:rsidR="00031E79" w:rsidRPr="00442D9E" w:rsidRDefault="004416F0" w:rsidP="00A0418A">
      <w:pPr>
        <w:pStyle w:val="Dotpointinfo"/>
        <w:rPr>
          <w:rFonts w:cs="Arial"/>
        </w:rPr>
      </w:pPr>
      <w:r>
        <w:rPr>
          <w:rFonts w:cs="Arial"/>
        </w:rPr>
        <w:t>E</w:t>
      </w:r>
      <w:r w:rsidR="00031E79" w:rsidRPr="00442D9E">
        <w:rPr>
          <w:rFonts w:cs="Arial"/>
        </w:rPr>
        <w:t>ngaging with and responding to community leadership to co-design sexual health promotion and STI service delivery approaches</w:t>
      </w:r>
    </w:p>
    <w:p w14:paraId="357A5C70" w14:textId="68496EA9" w:rsidR="0082510C" w:rsidRDefault="004416F0" w:rsidP="00A0418A">
      <w:pPr>
        <w:pStyle w:val="Dotpointinfo"/>
        <w:rPr>
          <w:rFonts w:cs="Arial"/>
        </w:rPr>
      </w:pPr>
      <w:r>
        <w:rPr>
          <w:rFonts w:cs="Arial"/>
        </w:rPr>
        <w:t>E</w:t>
      </w:r>
      <w:r w:rsidR="00031E79" w:rsidRPr="00442D9E">
        <w:rPr>
          <w:rFonts w:cs="Arial"/>
        </w:rPr>
        <w:t>nsuring that multiple communication approaches are utilised to reach as many people as possible through media that they consume as part of their routine.</w:t>
      </w:r>
    </w:p>
    <w:p w14:paraId="013318F5" w14:textId="7BCA2506" w:rsidR="00697A6E" w:rsidRDefault="00A72178" w:rsidP="003B2996">
      <w:pPr>
        <w:pStyle w:val="Caption"/>
        <w:spacing w:before="120"/>
        <w:rPr>
          <w:rFonts w:cs="Arial"/>
        </w:rPr>
      </w:pPr>
      <w:r>
        <w:t xml:space="preserve">Table </w:t>
      </w:r>
      <w:r>
        <w:fldChar w:fldCharType="begin"/>
      </w:r>
      <w:r>
        <w:instrText xml:space="preserve"> SEQ Table \* ARABIC </w:instrText>
      </w:r>
      <w:r>
        <w:fldChar w:fldCharType="separate"/>
      </w:r>
      <w:r w:rsidR="00853142">
        <w:rPr>
          <w:noProof/>
        </w:rPr>
        <w:t>2</w:t>
      </w:r>
      <w:r>
        <w:fldChar w:fldCharType="end"/>
      </w:r>
      <w:r>
        <w:t>: Priority populations</w:t>
      </w:r>
    </w:p>
    <w:tbl>
      <w:tblPr>
        <w:tblStyle w:val="TableGrid"/>
        <w:tblW w:w="4922" w:type="pct"/>
        <w:tblBorders>
          <w:top w:val="none" w:sz="0" w:space="0" w:color="auto"/>
          <w:left w:val="none" w:sz="0" w:space="0" w:color="auto"/>
          <w:bottom w:val="none" w:sz="0" w:space="0" w:color="auto"/>
          <w:right w:val="none" w:sz="0" w:space="0" w:color="auto"/>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561"/>
        <w:gridCol w:w="7921"/>
      </w:tblGrid>
      <w:tr w:rsidR="00665E54" w:rsidRPr="005B76E5" w14:paraId="6DD007AB" w14:textId="77777777" w:rsidTr="00A0728C">
        <w:trPr>
          <w:cantSplit/>
        </w:trPr>
        <w:tc>
          <w:tcPr>
            <w:tcW w:w="5000" w:type="pct"/>
            <w:gridSpan w:val="2"/>
            <w:shd w:val="clear" w:color="auto" w:fill="FE9648"/>
          </w:tcPr>
          <w:p w14:paraId="07DABEA2" w14:textId="57810EBD" w:rsidR="00665E54" w:rsidRPr="003B2996" w:rsidRDefault="00C7185A" w:rsidP="00EF14EE">
            <w:pPr>
              <w:spacing w:before="60" w:after="60"/>
              <w:rPr>
                <w:rFonts w:cs="Arial"/>
                <w:color w:val="000000" w:themeColor="text1"/>
                <w:sz w:val="20"/>
                <w:szCs w:val="20"/>
              </w:rPr>
            </w:pPr>
            <w:r w:rsidRPr="003B2996">
              <w:rPr>
                <w:rFonts w:cs="Arial"/>
                <w:b/>
                <w:color w:val="000000" w:themeColor="text1"/>
                <w:sz w:val="20"/>
                <w:szCs w:val="20"/>
              </w:rPr>
              <w:t xml:space="preserve">Priority population: </w:t>
            </w:r>
            <w:r w:rsidR="00665E54" w:rsidRPr="003B2996">
              <w:rPr>
                <w:rFonts w:cs="Arial"/>
                <w:b/>
                <w:color w:val="000000" w:themeColor="text1"/>
                <w:sz w:val="20"/>
                <w:szCs w:val="20"/>
              </w:rPr>
              <w:t>Young people (aged 15-24)</w:t>
            </w:r>
          </w:p>
        </w:tc>
      </w:tr>
      <w:tr w:rsidR="00865DBB" w:rsidRPr="005B76E5" w14:paraId="040BB934" w14:textId="77777777" w:rsidTr="005B76E5">
        <w:trPr>
          <w:cantSplit/>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398971BC" w14:textId="478E57A0" w:rsidR="0082510C" w:rsidRPr="003B2996" w:rsidRDefault="00AC1F71" w:rsidP="00686C1F">
            <w:pPr>
              <w:spacing w:before="60" w:after="12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68FA00F8" w14:textId="4DD5BA7B" w:rsidR="0082510C" w:rsidRPr="00442D9E" w:rsidRDefault="0082510C" w:rsidP="00686C1F">
            <w:pPr>
              <w:spacing w:before="60" w:after="120"/>
              <w:rPr>
                <w:rFonts w:cs="Arial"/>
                <w:color w:val="000000" w:themeColor="text1"/>
                <w:sz w:val="20"/>
                <w:szCs w:val="20"/>
              </w:rPr>
            </w:pPr>
            <w:r w:rsidRPr="00442D9E">
              <w:rPr>
                <w:rFonts w:cs="Arial"/>
                <w:color w:val="000000" w:themeColor="text1"/>
                <w:sz w:val="20"/>
                <w:szCs w:val="20"/>
              </w:rPr>
              <w:t xml:space="preserve">Social judgments </w:t>
            </w:r>
            <w:r w:rsidR="009E2DE8">
              <w:rPr>
                <w:rFonts w:cs="Arial"/>
                <w:color w:val="000000" w:themeColor="text1"/>
                <w:sz w:val="20"/>
                <w:szCs w:val="20"/>
              </w:rPr>
              <w:t>about</w:t>
            </w:r>
            <w:r w:rsidRPr="00442D9E">
              <w:rPr>
                <w:rFonts w:cs="Arial"/>
                <w:color w:val="000000" w:themeColor="text1"/>
                <w:sz w:val="20"/>
                <w:szCs w:val="20"/>
              </w:rPr>
              <w:t xml:space="preserve"> age and sexual behaviours</w:t>
            </w:r>
          </w:p>
          <w:p w14:paraId="6BA9A4DC" w14:textId="51D5A25C" w:rsidR="0082510C" w:rsidRPr="00442D9E" w:rsidRDefault="0082510C" w:rsidP="00027643">
            <w:pPr>
              <w:spacing w:after="120"/>
              <w:rPr>
                <w:rFonts w:cs="Arial"/>
                <w:color w:val="000000" w:themeColor="text1"/>
                <w:sz w:val="20"/>
                <w:szCs w:val="20"/>
              </w:rPr>
            </w:pPr>
            <w:r w:rsidRPr="00442D9E">
              <w:rPr>
                <w:rFonts w:cs="Arial"/>
                <w:color w:val="000000" w:themeColor="text1"/>
                <w:sz w:val="20"/>
                <w:szCs w:val="20"/>
              </w:rPr>
              <w:t>Parental consent required for some sexual health services until age 18</w:t>
            </w:r>
          </w:p>
          <w:p w14:paraId="6BA489CB" w14:textId="49F7A0E6" w:rsidR="0082510C" w:rsidRPr="00442D9E" w:rsidRDefault="0082510C" w:rsidP="00027643">
            <w:pPr>
              <w:spacing w:after="120"/>
              <w:rPr>
                <w:rFonts w:cs="Arial"/>
                <w:color w:val="000000" w:themeColor="text1"/>
                <w:sz w:val="20"/>
                <w:szCs w:val="20"/>
              </w:rPr>
            </w:pPr>
            <w:r w:rsidRPr="00442D9E">
              <w:rPr>
                <w:rFonts w:cs="Arial"/>
                <w:color w:val="000000" w:themeColor="text1"/>
                <w:sz w:val="20"/>
                <w:szCs w:val="20"/>
              </w:rPr>
              <w:t>Inaccessible medical records</w:t>
            </w:r>
          </w:p>
          <w:p w14:paraId="1BFD7C57" w14:textId="2723F5F6" w:rsidR="0082510C" w:rsidRPr="00442D9E" w:rsidRDefault="0037420A" w:rsidP="00027643">
            <w:pPr>
              <w:spacing w:after="120"/>
              <w:rPr>
                <w:rFonts w:cs="Arial"/>
                <w:color w:val="000000" w:themeColor="text1"/>
                <w:sz w:val="20"/>
                <w:szCs w:val="20"/>
              </w:rPr>
            </w:pPr>
            <w:r>
              <w:rPr>
                <w:rFonts w:cs="Arial"/>
                <w:color w:val="000000" w:themeColor="text1"/>
                <w:sz w:val="20"/>
                <w:szCs w:val="20"/>
              </w:rPr>
              <w:t xml:space="preserve">Unable to </w:t>
            </w:r>
            <w:r w:rsidR="0082510C" w:rsidRPr="00442D9E">
              <w:rPr>
                <w:rFonts w:cs="Arial"/>
                <w:color w:val="000000" w:themeColor="text1"/>
                <w:sz w:val="20"/>
                <w:szCs w:val="20"/>
              </w:rPr>
              <w:t xml:space="preserve">access Medicare and/or private health insurance </w:t>
            </w:r>
          </w:p>
          <w:p w14:paraId="6A74007E" w14:textId="0B4B026F" w:rsidR="0082510C" w:rsidRPr="00442D9E" w:rsidRDefault="0082510C" w:rsidP="00027643">
            <w:pPr>
              <w:spacing w:after="120"/>
              <w:rPr>
                <w:rFonts w:cs="Arial"/>
                <w:color w:val="000000" w:themeColor="text1"/>
                <w:sz w:val="20"/>
                <w:szCs w:val="20"/>
              </w:rPr>
            </w:pPr>
            <w:r w:rsidRPr="00442D9E">
              <w:rPr>
                <w:rFonts w:cs="Arial"/>
                <w:color w:val="000000" w:themeColor="text1"/>
                <w:sz w:val="20"/>
                <w:szCs w:val="20"/>
              </w:rPr>
              <w:t>Limited knowledge and awareness of health, education</w:t>
            </w:r>
            <w:r w:rsidR="0037420A">
              <w:rPr>
                <w:rFonts w:cs="Arial"/>
                <w:color w:val="000000" w:themeColor="text1"/>
                <w:sz w:val="20"/>
                <w:szCs w:val="20"/>
              </w:rPr>
              <w:t>,</w:t>
            </w:r>
            <w:r w:rsidRPr="00442D9E">
              <w:rPr>
                <w:rFonts w:cs="Arial"/>
                <w:color w:val="000000" w:themeColor="text1"/>
                <w:sz w:val="20"/>
                <w:szCs w:val="20"/>
              </w:rPr>
              <w:t xml:space="preserve"> and other support systems</w:t>
            </w:r>
          </w:p>
          <w:p w14:paraId="68DD1216" w14:textId="3D6C74F6" w:rsidR="0082510C" w:rsidRPr="00F05D82" w:rsidRDefault="0082510C" w:rsidP="00027643">
            <w:pPr>
              <w:pStyle w:val="BodyText"/>
              <w:rPr>
                <w:rFonts w:cs="Arial"/>
                <w:color w:val="000000" w:themeColor="text1"/>
                <w:sz w:val="20"/>
                <w:szCs w:val="20"/>
              </w:rPr>
            </w:pPr>
            <w:r w:rsidRPr="00442D9E">
              <w:rPr>
                <w:rFonts w:cs="Arial"/>
                <w:color w:val="000000" w:themeColor="text1"/>
                <w:sz w:val="20"/>
                <w:szCs w:val="20"/>
              </w:rPr>
              <w:t>Attitudinal and autonomy-related barriers to accessing education and healthcare services</w:t>
            </w:r>
            <w:r w:rsidR="008B43F1">
              <w:rPr>
                <w:rFonts w:ascii="ZWAdobeF" w:hAnsi="ZWAdobeF" w:cs="ZWAdobeF"/>
                <w:sz w:val="2"/>
                <w:szCs w:val="2"/>
              </w:rPr>
              <w:t>57F</w:t>
            </w:r>
            <w:r w:rsidRPr="00442D9E">
              <w:rPr>
                <w:rStyle w:val="EndnoteReference"/>
                <w:rFonts w:cs="Arial"/>
                <w:color w:val="000000" w:themeColor="text1"/>
                <w:sz w:val="20"/>
                <w:szCs w:val="20"/>
              </w:rPr>
              <w:endnoteReference w:id="57"/>
            </w:r>
            <w:r w:rsidRPr="00442D9E">
              <w:rPr>
                <w:rFonts w:cs="Arial"/>
                <w:color w:val="000000" w:themeColor="text1"/>
                <w:sz w:val="20"/>
                <w:szCs w:val="20"/>
              </w:rPr>
              <w:t xml:space="preserve"> </w:t>
            </w:r>
          </w:p>
        </w:tc>
      </w:tr>
      <w:tr w:rsidR="00865DBB" w:rsidRPr="005B76E5" w14:paraId="019A4634" w14:textId="77777777" w:rsidTr="005B76E5">
        <w:trPr>
          <w:cantSplit/>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3C109610" w14:textId="74324A16" w:rsidR="0082510C" w:rsidRPr="003B2996" w:rsidRDefault="00AC1F71" w:rsidP="00686C1F">
            <w:pPr>
              <w:spacing w:before="60" w:after="120"/>
              <w:rPr>
                <w:rFonts w:cs="Arial"/>
                <w:color w:val="000000" w:themeColor="text1"/>
                <w:sz w:val="20"/>
                <w:szCs w:val="20"/>
              </w:rPr>
            </w:pPr>
            <w:r w:rsidRPr="003B2996">
              <w:rPr>
                <w:rFonts w:cs="Arial"/>
                <w:color w:val="000000" w:themeColor="text1"/>
                <w:sz w:val="20"/>
                <w:szCs w:val="20"/>
              </w:rPr>
              <w:lastRenderedPageBreak/>
              <w:t>Key STI epidemiology</w:t>
            </w:r>
          </w:p>
        </w:tc>
        <w:tc>
          <w:tcPr>
            <w:tcW w:w="4177" w:type="pct"/>
            <w:tcBorders>
              <w:left w:val="nil"/>
            </w:tcBorders>
          </w:tcPr>
          <w:p w14:paraId="042D79C9" w14:textId="04CFE001" w:rsidR="0082510C" w:rsidRPr="00442D9E" w:rsidRDefault="0082510C" w:rsidP="00686C1F">
            <w:pPr>
              <w:spacing w:before="60" w:after="120"/>
              <w:rPr>
                <w:rFonts w:cs="Arial"/>
                <w:color w:val="000000" w:themeColor="text1"/>
                <w:sz w:val="20"/>
                <w:szCs w:val="20"/>
              </w:rPr>
            </w:pPr>
            <w:r w:rsidRPr="00442D9E">
              <w:rPr>
                <w:rFonts w:cs="Arial"/>
                <w:color w:val="000000" w:themeColor="text1"/>
                <w:sz w:val="20"/>
                <w:szCs w:val="20"/>
              </w:rPr>
              <w:t>Significantly impacted by STI</w:t>
            </w:r>
            <w:r w:rsidR="008B43F1">
              <w:rPr>
                <w:rFonts w:ascii="ZWAdobeF" w:hAnsi="ZWAdobeF" w:cs="ZWAdobeF"/>
                <w:sz w:val="2"/>
                <w:szCs w:val="2"/>
              </w:rPr>
              <w:t>58F</w:t>
            </w:r>
            <w:r w:rsidRPr="00442D9E">
              <w:rPr>
                <w:rStyle w:val="EndnoteReference"/>
                <w:rFonts w:cs="Arial"/>
                <w:color w:val="000000" w:themeColor="text1"/>
                <w:sz w:val="20"/>
                <w:szCs w:val="20"/>
              </w:rPr>
              <w:endnoteReference w:id="58"/>
            </w:r>
          </w:p>
          <w:p w14:paraId="772AD610" w14:textId="35D149A6" w:rsidR="0082510C" w:rsidRPr="00442D9E" w:rsidRDefault="0082510C" w:rsidP="00027643">
            <w:pPr>
              <w:spacing w:after="120"/>
              <w:rPr>
                <w:rFonts w:cs="Arial"/>
                <w:color w:val="000000" w:themeColor="text1"/>
                <w:sz w:val="20"/>
                <w:szCs w:val="20"/>
              </w:rPr>
            </w:pPr>
            <w:r w:rsidRPr="00442D9E">
              <w:rPr>
                <w:rFonts w:cs="Arial"/>
                <w:color w:val="000000" w:themeColor="text1"/>
                <w:sz w:val="20"/>
                <w:szCs w:val="20"/>
              </w:rPr>
              <w:t>STI among young people often remain undiagnosed and untreated</w:t>
            </w:r>
            <w:r w:rsidR="008B43F1">
              <w:rPr>
                <w:rFonts w:ascii="ZWAdobeF" w:hAnsi="ZWAdobeF" w:cs="ZWAdobeF"/>
                <w:sz w:val="2"/>
                <w:szCs w:val="2"/>
              </w:rPr>
              <w:t>59F</w:t>
            </w:r>
            <w:r w:rsidRPr="00442D9E">
              <w:rPr>
                <w:rStyle w:val="EndnoteReference"/>
                <w:rFonts w:cs="Arial"/>
                <w:color w:val="000000" w:themeColor="text1"/>
                <w:sz w:val="20"/>
                <w:szCs w:val="20"/>
              </w:rPr>
              <w:endnoteReference w:id="59"/>
            </w:r>
          </w:p>
          <w:p w14:paraId="11EE1046" w14:textId="3903437E" w:rsidR="0082510C" w:rsidRPr="00442D9E" w:rsidRDefault="0082510C" w:rsidP="00027643">
            <w:pPr>
              <w:spacing w:after="120"/>
              <w:rPr>
                <w:rFonts w:cs="Arial"/>
                <w:color w:val="000000" w:themeColor="text1"/>
                <w:sz w:val="20"/>
                <w:szCs w:val="20"/>
              </w:rPr>
            </w:pPr>
            <w:r w:rsidRPr="00442D9E">
              <w:rPr>
                <w:rFonts w:cs="Arial"/>
                <w:color w:val="000000" w:themeColor="text1"/>
                <w:sz w:val="20"/>
                <w:szCs w:val="20"/>
              </w:rPr>
              <w:t>Diverse and large group, with differences noted between age cohorts</w:t>
            </w:r>
            <w:r w:rsidR="008B43F1">
              <w:rPr>
                <w:rFonts w:ascii="ZWAdobeF" w:hAnsi="ZWAdobeF" w:cs="ZWAdobeF"/>
                <w:sz w:val="2"/>
                <w:szCs w:val="2"/>
              </w:rPr>
              <w:t>60F</w:t>
            </w:r>
            <w:r w:rsidRPr="00442D9E">
              <w:rPr>
                <w:rStyle w:val="EndnoteReference"/>
                <w:rFonts w:cs="Arial"/>
                <w:color w:val="000000" w:themeColor="text1"/>
                <w:sz w:val="20"/>
                <w:szCs w:val="20"/>
              </w:rPr>
              <w:endnoteReference w:id="60"/>
            </w:r>
            <w:r w:rsidRPr="00442D9E">
              <w:rPr>
                <w:rFonts w:cs="Arial"/>
                <w:color w:val="000000" w:themeColor="text1"/>
                <w:sz w:val="20"/>
                <w:szCs w:val="20"/>
              </w:rPr>
              <w:t xml:space="preserve"> </w:t>
            </w:r>
          </w:p>
          <w:p w14:paraId="7093FA21" w14:textId="37D41269" w:rsidR="009E2DE8" w:rsidRPr="00442D9E" w:rsidRDefault="009E2DE8" w:rsidP="009E2DE8">
            <w:pPr>
              <w:spacing w:after="120"/>
              <w:rPr>
                <w:rFonts w:cs="Arial"/>
                <w:color w:val="000000" w:themeColor="text1"/>
                <w:sz w:val="20"/>
                <w:szCs w:val="20"/>
              </w:rPr>
            </w:pPr>
            <w:r>
              <w:rPr>
                <w:rFonts w:cs="Arial"/>
                <w:color w:val="000000" w:themeColor="text1"/>
                <w:sz w:val="20"/>
                <w:szCs w:val="20"/>
              </w:rPr>
              <w:t>Focus on p</w:t>
            </w:r>
            <w:r w:rsidR="0082510C" w:rsidRPr="00442D9E">
              <w:rPr>
                <w:rFonts w:cs="Arial"/>
                <w:color w:val="000000" w:themeColor="text1"/>
                <w:sz w:val="20"/>
                <w:szCs w:val="20"/>
              </w:rPr>
              <w:t>eople who can get pregnant</w:t>
            </w:r>
          </w:p>
          <w:p w14:paraId="6359A84C" w14:textId="4D40F89D" w:rsidR="0082510C" w:rsidRPr="00F05D82" w:rsidRDefault="0082510C" w:rsidP="00027643">
            <w:pPr>
              <w:spacing w:after="120"/>
              <w:rPr>
                <w:rFonts w:cs="Arial"/>
                <w:color w:val="000000" w:themeColor="text1"/>
                <w:sz w:val="20"/>
                <w:szCs w:val="20"/>
              </w:rPr>
            </w:pPr>
            <w:r w:rsidRPr="00442D9E">
              <w:rPr>
                <w:rFonts w:cs="Arial"/>
                <w:color w:val="000000" w:themeColor="text1"/>
                <w:sz w:val="20"/>
                <w:szCs w:val="20"/>
              </w:rPr>
              <w:t>Importance of enhanced chlamydia case management to reduce the risk of repeat infection and minimise pelvic inflammatory disease</w:t>
            </w:r>
            <w:r w:rsidR="008B43F1">
              <w:rPr>
                <w:rFonts w:ascii="ZWAdobeF" w:hAnsi="ZWAdobeF" w:cs="ZWAdobeF"/>
                <w:sz w:val="2"/>
                <w:szCs w:val="2"/>
              </w:rPr>
              <w:t>61F</w:t>
            </w:r>
            <w:r w:rsidRPr="00442D9E">
              <w:rPr>
                <w:rStyle w:val="EndnoteReference"/>
                <w:rFonts w:cs="Arial"/>
                <w:color w:val="000000" w:themeColor="text1"/>
                <w:sz w:val="20"/>
                <w:szCs w:val="20"/>
              </w:rPr>
              <w:endnoteReference w:id="61"/>
            </w:r>
          </w:p>
        </w:tc>
      </w:tr>
      <w:tr w:rsidR="00865DBB" w:rsidRPr="005B76E5" w14:paraId="7E8E5FD0" w14:textId="77777777" w:rsidTr="005B76E5">
        <w:trPr>
          <w:cantSplit/>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27369C61" w14:textId="47A9617D" w:rsidR="0082510C" w:rsidRPr="003B2996" w:rsidRDefault="00AC1F71" w:rsidP="00686C1F">
            <w:pPr>
              <w:spacing w:before="60" w:after="120"/>
              <w:rPr>
                <w:rFonts w:cs="Arial"/>
                <w:color w:val="000000" w:themeColor="text1"/>
                <w:sz w:val="20"/>
                <w:szCs w:val="20"/>
              </w:rPr>
            </w:pPr>
            <w:r w:rsidRPr="003B2996">
              <w:rPr>
                <w:rFonts w:cs="Arial"/>
                <w:color w:val="000000" w:themeColor="text1"/>
                <w:sz w:val="20"/>
                <w:szCs w:val="20"/>
              </w:rPr>
              <w:t>Other considerations</w:t>
            </w:r>
          </w:p>
        </w:tc>
        <w:tc>
          <w:tcPr>
            <w:tcW w:w="4177" w:type="pct"/>
            <w:tcBorders>
              <w:left w:val="nil"/>
            </w:tcBorders>
          </w:tcPr>
          <w:p w14:paraId="4406BB9F" w14:textId="035B8B16" w:rsidR="0082510C" w:rsidRPr="00442D9E" w:rsidRDefault="0082510C" w:rsidP="00686C1F">
            <w:pPr>
              <w:pStyle w:val="BodyText"/>
              <w:spacing w:before="60"/>
              <w:rPr>
                <w:rFonts w:cs="Arial"/>
                <w:color w:val="000000" w:themeColor="text1"/>
                <w:sz w:val="20"/>
                <w:szCs w:val="20"/>
              </w:rPr>
            </w:pPr>
            <w:r w:rsidRPr="00442D9E">
              <w:rPr>
                <w:rFonts w:cs="Arial"/>
                <w:color w:val="000000" w:themeColor="text1"/>
                <w:sz w:val="20"/>
                <w:szCs w:val="20"/>
              </w:rPr>
              <w:t>Comprehensive STI testing</w:t>
            </w:r>
            <w:r w:rsidR="008B43F1">
              <w:rPr>
                <w:rFonts w:ascii="ZWAdobeF" w:hAnsi="ZWAdobeF" w:cs="ZWAdobeF"/>
                <w:sz w:val="2"/>
                <w:szCs w:val="2"/>
              </w:rPr>
              <w:t>62F</w:t>
            </w:r>
            <w:r w:rsidRPr="00442D9E">
              <w:rPr>
                <w:rStyle w:val="EndnoteReference"/>
                <w:rFonts w:cs="Arial"/>
                <w:color w:val="000000" w:themeColor="text1"/>
                <w:sz w:val="20"/>
                <w:szCs w:val="20"/>
              </w:rPr>
              <w:endnoteReference w:id="62"/>
            </w:r>
            <w:r w:rsidRPr="00442D9E">
              <w:rPr>
                <w:rFonts w:cs="Arial"/>
                <w:color w:val="000000" w:themeColor="text1"/>
                <w:sz w:val="20"/>
                <w:szCs w:val="20"/>
              </w:rPr>
              <w:t xml:space="preserve"> could be part of routine healthcare for all sexually active young people</w:t>
            </w:r>
            <w:r w:rsidR="008B43F1">
              <w:rPr>
                <w:rFonts w:ascii="ZWAdobeF" w:hAnsi="ZWAdobeF" w:cs="ZWAdobeF"/>
                <w:sz w:val="2"/>
                <w:szCs w:val="2"/>
              </w:rPr>
              <w:t>63F</w:t>
            </w:r>
            <w:r w:rsidRPr="00442D9E">
              <w:rPr>
                <w:rStyle w:val="EndnoteReference"/>
                <w:rFonts w:cs="Arial"/>
                <w:color w:val="000000" w:themeColor="text1"/>
                <w:sz w:val="20"/>
                <w:szCs w:val="20"/>
              </w:rPr>
              <w:endnoteReference w:id="63"/>
            </w:r>
            <w:r w:rsidRPr="00442D9E">
              <w:rPr>
                <w:rFonts w:cs="Arial"/>
                <w:color w:val="000000" w:themeColor="text1"/>
                <w:sz w:val="20"/>
                <w:szCs w:val="20"/>
              </w:rPr>
              <w:t xml:space="preserve">  </w:t>
            </w:r>
          </w:p>
          <w:p w14:paraId="4F881119" w14:textId="03D8A241" w:rsidR="0082510C" w:rsidRPr="00442D9E" w:rsidRDefault="00A72823" w:rsidP="00027643">
            <w:pPr>
              <w:spacing w:after="120"/>
              <w:rPr>
                <w:rFonts w:cs="Arial"/>
                <w:color w:val="000000" w:themeColor="text1"/>
                <w:sz w:val="20"/>
                <w:szCs w:val="20"/>
              </w:rPr>
            </w:pPr>
            <w:r>
              <w:rPr>
                <w:rFonts w:cs="Arial"/>
                <w:color w:val="000000" w:themeColor="text1"/>
                <w:sz w:val="20"/>
                <w:szCs w:val="20"/>
              </w:rPr>
              <w:t>People who o</w:t>
            </w:r>
            <w:r w:rsidR="0082510C" w:rsidRPr="00442D9E">
              <w:rPr>
                <w:rFonts w:cs="Arial"/>
                <w:color w:val="000000" w:themeColor="text1"/>
                <w:sz w:val="20"/>
                <w:szCs w:val="20"/>
              </w:rPr>
              <w:t>ften have more than one sexual partner, either concurrent or sequential</w:t>
            </w:r>
          </w:p>
          <w:p w14:paraId="08AE3DAB" w14:textId="69F38A4E" w:rsidR="00F05D82" w:rsidRDefault="0082510C" w:rsidP="00027643">
            <w:pPr>
              <w:spacing w:after="120"/>
              <w:rPr>
                <w:rFonts w:cs="Arial"/>
                <w:color w:val="000000" w:themeColor="text1"/>
                <w:sz w:val="20"/>
                <w:szCs w:val="20"/>
              </w:rPr>
            </w:pPr>
            <w:r w:rsidRPr="00442D9E">
              <w:rPr>
                <w:rFonts w:cs="Arial"/>
                <w:color w:val="000000" w:themeColor="text1"/>
                <w:sz w:val="20"/>
                <w:szCs w:val="20"/>
              </w:rPr>
              <w:t>Gap between availability and use of condoms is widening</w:t>
            </w:r>
            <w:r w:rsidR="008B43F1">
              <w:rPr>
                <w:rFonts w:ascii="ZWAdobeF" w:hAnsi="ZWAdobeF" w:cs="ZWAdobeF"/>
                <w:sz w:val="2"/>
                <w:szCs w:val="2"/>
              </w:rPr>
              <w:t>64F</w:t>
            </w:r>
            <w:r w:rsidRPr="00442D9E">
              <w:rPr>
                <w:rStyle w:val="EndnoteReference"/>
                <w:rFonts w:cs="Arial"/>
                <w:color w:val="000000" w:themeColor="text1"/>
                <w:sz w:val="20"/>
                <w:szCs w:val="20"/>
              </w:rPr>
              <w:endnoteReference w:id="64"/>
            </w:r>
          </w:p>
          <w:p w14:paraId="7B9324F0" w14:textId="3F0DBED5" w:rsidR="00F05D82" w:rsidRDefault="0082510C" w:rsidP="00027643">
            <w:pPr>
              <w:spacing w:after="120"/>
              <w:rPr>
                <w:rFonts w:cs="Arial"/>
                <w:color w:val="000000" w:themeColor="text1"/>
                <w:sz w:val="20"/>
                <w:szCs w:val="20"/>
              </w:rPr>
            </w:pPr>
            <w:r w:rsidRPr="00442D9E">
              <w:rPr>
                <w:rFonts w:cs="Arial"/>
                <w:color w:val="000000" w:themeColor="text1"/>
                <w:sz w:val="20"/>
                <w:szCs w:val="20"/>
              </w:rPr>
              <w:t xml:space="preserve">Young people with intersecting and marginalised identities or experiences more likely </w:t>
            </w:r>
            <w:r w:rsidR="00A72823">
              <w:rPr>
                <w:rFonts w:cs="Arial"/>
                <w:color w:val="000000" w:themeColor="text1"/>
                <w:sz w:val="20"/>
                <w:szCs w:val="20"/>
              </w:rPr>
              <w:t xml:space="preserve">to be </w:t>
            </w:r>
            <w:r w:rsidRPr="00442D9E">
              <w:rPr>
                <w:rFonts w:cs="Arial"/>
                <w:color w:val="000000" w:themeColor="text1"/>
                <w:sz w:val="20"/>
                <w:szCs w:val="20"/>
              </w:rPr>
              <w:t>disproportionately impacted by STI</w:t>
            </w:r>
            <w:r w:rsidR="008B43F1">
              <w:rPr>
                <w:rFonts w:ascii="ZWAdobeF" w:hAnsi="ZWAdobeF" w:cs="ZWAdobeF"/>
                <w:sz w:val="2"/>
                <w:szCs w:val="2"/>
              </w:rPr>
              <w:t>65F</w:t>
            </w:r>
            <w:r w:rsidRPr="00442D9E">
              <w:rPr>
                <w:rStyle w:val="EndnoteReference"/>
                <w:rFonts w:cs="Arial"/>
                <w:color w:val="000000" w:themeColor="text1"/>
                <w:sz w:val="20"/>
                <w:szCs w:val="20"/>
              </w:rPr>
              <w:endnoteReference w:id="65"/>
            </w:r>
            <w:r w:rsidRPr="00442D9E">
              <w:rPr>
                <w:rFonts w:cs="Arial"/>
                <w:color w:val="000000" w:themeColor="text1"/>
                <w:sz w:val="20"/>
                <w:szCs w:val="20"/>
              </w:rPr>
              <w:t xml:space="preserve"> </w:t>
            </w:r>
          </w:p>
          <w:p w14:paraId="1B717BE7" w14:textId="0F7AF845" w:rsidR="0082510C" w:rsidRPr="00442D9E" w:rsidRDefault="0082510C" w:rsidP="00027643">
            <w:pPr>
              <w:spacing w:after="120"/>
              <w:rPr>
                <w:rFonts w:cs="Arial"/>
                <w:color w:val="000000" w:themeColor="text1"/>
                <w:sz w:val="20"/>
                <w:szCs w:val="20"/>
              </w:rPr>
            </w:pPr>
            <w:r w:rsidRPr="00442D9E">
              <w:rPr>
                <w:rFonts w:cs="Arial"/>
                <w:color w:val="000000" w:themeColor="text1"/>
                <w:sz w:val="20"/>
                <w:szCs w:val="20"/>
              </w:rPr>
              <w:t xml:space="preserve">Youth-oriented programs need to be co-developed with an intersectional lens </w:t>
            </w:r>
          </w:p>
          <w:p w14:paraId="6BAB1346" w14:textId="0D5ECBD2" w:rsidR="0082510C" w:rsidRPr="00442D9E" w:rsidRDefault="0082510C" w:rsidP="00027643">
            <w:pPr>
              <w:spacing w:after="120"/>
              <w:rPr>
                <w:rFonts w:cs="Arial"/>
                <w:color w:val="000000" w:themeColor="text1"/>
                <w:sz w:val="20"/>
                <w:szCs w:val="20"/>
              </w:rPr>
            </w:pPr>
            <w:r w:rsidRPr="00442D9E">
              <w:rPr>
                <w:rFonts w:cs="Arial"/>
                <w:color w:val="000000" w:themeColor="text1"/>
                <w:sz w:val="20"/>
                <w:szCs w:val="20"/>
              </w:rPr>
              <w:t xml:space="preserve">Older cohorts of young people </w:t>
            </w:r>
            <w:r w:rsidR="00A72823">
              <w:rPr>
                <w:rFonts w:cs="Arial"/>
                <w:color w:val="000000" w:themeColor="text1"/>
                <w:sz w:val="20"/>
                <w:szCs w:val="20"/>
              </w:rPr>
              <w:t xml:space="preserve">are </w:t>
            </w:r>
            <w:r w:rsidRPr="00442D9E">
              <w:rPr>
                <w:rFonts w:cs="Arial"/>
                <w:color w:val="000000" w:themeColor="text1"/>
                <w:sz w:val="20"/>
                <w:szCs w:val="20"/>
              </w:rPr>
              <w:t>often less connected to a regular GP than their younger peers, particularly those from a marginalised group</w:t>
            </w:r>
            <w:r w:rsidR="008B43F1">
              <w:rPr>
                <w:rFonts w:ascii="ZWAdobeF" w:hAnsi="ZWAdobeF" w:cs="ZWAdobeF"/>
                <w:sz w:val="2"/>
                <w:szCs w:val="2"/>
              </w:rPr>
              <w:t>66F</w:t>
            </w:r>
            <w:r w:rsidRPr="00442D9E">
              <w:rPr>
                <w:rStyle w:val="EndnoteReference"/>
                <w:rFonts w:cs="Arial"/>
                <w:color w:val="000000" w:themeColor="text1"/>
                <w:sz w:val="20"/>
                <w:szCs w:val="20"/>
              </w:rPr>
              <w:endnoteReference w:id="66"/>
            </w:r>
          </w:p>
          <w:p w14:paraId="10A8FBC8" w14:textId="77777777" w:rsidR="0082510C" w:rsidRDefault="0082510C" w:rsidP="00027643">
            <w:pPr>
              <w:spacing w:after="120"/>
              <w:rPr>
                <w:rFonts w:cs="Arial"/>
                <w:color w:val="000000" w:themeColor="text1"/>
                <w:sz w:val="20"/>
                <w:szCs w:val="20"/>
              </w:rPr>
            </w:pPr>
            <w:r w:rsidRPr="00442D9E">
              <w:rPr>
                <w:rFonts w:cs="Arial"/>
                <w:color w:val="000000" w:themeColor="text1"/>
                <w:sz w:val="20"/>
                <w:szCs w:val="20"/>
              </w:rPr>
              <w:t>Young people have a right to access information and develop health-seeking skills</w:t>
            </w:r>
          </w:p>
          <w:p w14:paraId="7519EC62" w14:textId="08BDF3FC" w:rsidR="006F16A1" w:rsidRPr="00B70B35" w:rsidRDefault="004C7C78" w:rsidP="00027643">
            <w:pPr>
              <w:spacing w:after="120"/>
              <w:rPr>
                <w:rFonts w:cs="Arial"/>
                <w:color w:val="000000" w:themeColor="text1"/>
                <w:sz w:val="20"/>
                <w:szCs w:val="20"/>
              </w:rPr>
            </w:pPr>
            <w:r w:rsidRPr="00B70B35">
              <w:rPr>
                <w:rFonts w:cs="Arial"/>
                <w:color w:val="000000" w:themeColor="text1"/>
                <w:sz w:val="20"/>
                <w:szCs w:val="20"/>
              </w:rPr>
              <w:t>The presentation of symptoms, signs, evidence or identification of STI in children and young people (&lt; 18 years) may be a potential indicator of child sexual abuse</w:t>
            </w:r>
            <w:r w:rsidR="008B43F1">
              <w:rPr>
                <w:rFonts w:ascii="ZWAdobeF" w:hAnsi="ZWAdobeF" w:cs="ZWAdobeF"/>
                <w:sz w:val="2"/>
                <w:szCs w:val="2"/>
              </w:rPr>
              <w:t>67F</w:t>
            </w:r>
            <w:r w:rsidR="00474A8A">
              <w:rPr>
                <w:rStyle w:val="EndnoteReference"/>
                <w:rFonts w:cs="Arial"/>
                <w:color w:val="000000" w:themeColor="text1"/>
                <w:sz w:val="20"/>
                <w:szCs w:val="20"/>
              </w:rPr>
              <w:endnoteReference w:id="67"/>
            </w:r>
            <w:r w:rsidR="00DE63A8">
              <w:rPr>
                <w:rFonts w:cs="Arial"/>
                <w:color w:val="000000" w:themeColor="text1"/>
                <w:sz w:val="20"/>
                <w:szCs w:val="20"/>
              </w:rPr>
              <w:t>.</w:t>
            </w:r>
            <w:r w:rsidR="006F16A1">
              <w:rPr>
                <w:rFonts w:cs="Arial"/>
                <w:color w:val="000000" w:themeColor="text1"/>
                <w:sz w:val="20"/>
                <w:szCs w:val="20"/>
              </w:rPr>
              <w:t xml:space="preserve"> </w:t>
            </w:r>
            <w:r w:rsidR="00DE63A8">
              <w:rPr>
                <w:rFonts w:cs="Arial"/>
                <w:color w:val="000000" w:themeColor="text1"/>
                <w:sz w:val="20"/>
                <w:szCs w:val="20"/>
              </w:rPr>
              <w:t>H</w:t>
            </w:r>
            <w:r w:rsidR="006F16A1" w:rsidRPr="006F16A1">
              <w:rPr>
                <w:rFonts w:cs="Arial"/>
                <w:color w:val="000000" w:themeColor="text1"/>
                <w:sz w:val="20"/>
                <w:szCs w:val="20"/>
              </w:rPr>
              <w:t>ealth professionals should ensure they know where to refer a child if they suspect child sexual abuse</w:t>
            </w:r>
            <w:r w:rsidR="008B43F1">
              <w:rPr>
                <w:rFonts w:ascii="ZWAdobeF" w:hAnsi="ZWAdobeF" w:cs="ZWAdobeF"/>
                <w:sz w:val="2"/>
                <w:szCs w:val="2"/>
              </w:rPr>
              <w:t>0F</w:t>
            </w:r>
            <w:r w:rsidR="00534920">
              <w:rPr>
                <w:rStyle w:val="FootnoteReference"/>
                <w:rFonts w:cs="Arial"/>
                <w:color w:val="000000" w:themeColor="text1"/>
                <w:sz w:val="20"/>
                <w:szCs w:val="20"/>
              </w:rPr>
              <w:footnoteReference w:id="2"/>
            </w:r>
            <w:r w:rsidR="006F16A1" w:rsidRPr="006F16A1">
              <w:rPr>
                <w:rFonts w:cs="Arial"/>
                <w:color w:val="000000" w:themeColor="text1"/>
                <w:sz w:val="20"/>
                <w:szCs w:val="20"/>
              </w:rPr>
              <w:t>.</w:t>
            </w:r>
          </w:p>
        </w:tc>
      </w:tr>
      <w:tr w:rsidR="00665E54" w:rsidRPr="005B76E5" w14:paraId="6EC34578" w14:textId="77777777" w:rsidTr="00A0728C">
        <w:trPr>
          <w:cantSplit/>
          <w:trHeight w:val="352"/>
        </w:trPr>
        <w:tc>
          <w:tcPr>
            <w:tcW w:w="5000" w:type="pct"/>
            <w:gridSpan w:val="2"/>
            <w:shd w:val="clear" w:color="auto" w:fill="FE9648"/>
          </w:tcPr>
          <w:p w14:paraId="5C2767BB" w14:textId="0D9796AC" w:rsidR="00665E54" w:rsidRPr="003B2996" w:rsidRDefault="00D100D9" w:rsidP="00EF14EE">
            <w:pPr>
              <w:pStyle w:val="NormalWeb"/>
              <w:spacing w:before="60" w:beforeAutospacing="0" w:after="60" w:afterAutospacing="0"/>
              <w:rPr>
                <w:rFonts w:cs="Arial"/>
                <w:color w:val="000000" w:themeColor="text1"/>
                <w:sz w:val="20"/>
                <w:szCs w:val="20"/>
              </w:rPr>
            </w:pPr>
            <w:r w:rsidRPr="003B2996">
              <w:rPr>
                <w:rFonts w:cs="Arial"/>
                <w:b/>
                <w:color w:val="000000" w:themeColor="text1"/>
                <w:sz w:val="20"/>
                <w:szCs w:val="20"/>
              </w:rPr>
              <w:t xml:space="preserve">Priority population: </w:t>
            </w:r>
            <w:r w:rsidR="009E5590">
              <w:rPr>
                <w:rFonts w:cs="Arial"/>
                <w:b/>
                <w:color w:val="000000" w:themeColor="text1"/>
                <w:sz w:val="20"/>
                <w:szCs w:val="20"/>
              </w:rPr>
              <w:t>Aboriginal and Torres Strait Islander</w:t>
            </w:r>
            <w:r w:rsidR="006953C3">
              <w:rPr>
                <w:rFonts w:cs="Arial"/>
                <w:b/>
                <w:color w:val="000000" w:themeColor="text1"/>
                <w:sz w:val="20"/>
                <w:szCs w:val="20"/>
              </w:rPr>
              <w:t xml:space="preserve"> </w:t>
            </w:r>
            <w:r w:rsidR="00665E54" w:rsidRPr="003B2996">
              <w:rPr>
                <w:rFonts w:cs="Arial"/>
                <w:b/>
                <w:color w:val="000000" w:themeColor="text1"/>
                <w:sz w:val="20"/>
                <w:szCs w:val="20"/>
              </w:rPr>
              <w:t>people</w:t>
            </w:r>
          </w:p>
        </w:tc>
      </w:tr>
      <w:tr w:rsidR="00865DBB" w:rsidRPr="005B76E5" w14:paraId="100D970D"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1AF41226" w14:textId="49C6A461" w:rsidR="00854723" w:rsidRPr="003B2996" w:rsidRDefault="00854723"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1F2B6D59" w14:textId="7A45C2F7" w:rsidR="001372A4" w:rsidRDefault="001372A4" w:rsidP="0030072C">
            <w:pPr>
              <w:pStyle w:val="BodyText"/>
              <w:rPr>
                <w:rFonts w:cs="Arial"/>
                <w:color w:val="000000" w:themeColor="text1"/>
                <w:sz w:val="20"/>
                <w:szCs w:val="20"/>
              </w:rPr>
            </w:pPr>
            <w:r>
              <w:rPr>
                <w:rFonts w:cs="Arial"/>
                <w:color w:val="000000" w:themeColor="text1"/>
                <w:sz w:val="20"/>
                <w:szCs w:val="20"/>
              </w:rPr>
              <w:t>P</w:t>
            </w:r>
            <w:r w:rsidRPr="001372A4">
              <w:rPr>
                <w:rFonts w:cs="Arial"/>
                <w:color w:val="000000" w:themeColor="text1"/>
                <w:sz w:val="20"/>
                <w:szCs w:val="20"/>
              </w:rPr>
              <w:t>ast institutional harm, systemic bias and racism, a lack of cultural safety, gender and generational trauma</w:t>
            </w:r>
            <w:r w:rsidR="008B43F1">
              <w:rPr>
                <w:rFonts w:ascii="ZWAdobeF" w:hAnsi="ZWAdobeF" w:cs="ZWAdobeF"/>
                <w:sz w:val="2"/>
                <w:szCs w:val="2"/>
              </w:rPr>
              <w:t>68F</w:t>
            </w:r>
            <w:r w:rsidR="005D7228">
              <w:rPr>
                <w:rStyle w:val="EndnoteReference"/>
                <w:rFonts w:cs="Arial"/>
                <w:color w:val="000000" w:themeColor="text1"/>
                <w:sz w:val="20"/>
                <w:szCs w:val="20"/>
              </w:rPr>
              <w:endnoteReference w:id="68"/>
            </w:r>
          </w:p>
          <w:p w14:paraId="4BACBEA7" w14:textId="3515B910" w:rsidR="00AC1E53" w:rsidRDefault="00AC1E53" w:rsidP="0030072C">
            <w:pPr>
              <w:pStyle w:val="BodyText"/>
              <w:rPr>
                <w:rFonts w:cs="Arial"/>
                <w:color w:val="000000" w:themeColor="text1"/>
                <w:sz w:val="20"/>
                <w:szCs w:val="20"/>
              </w:rPr>
            </w:pPr>
            <w:r w:rsidRPr="00AC1E53">
              <w:rPr>
                <w:rFonts w:cs="Arial"/>
                <w:color w:val="000000" w:themeColor="text1"/>
                <w:sz w:val="20"/>
                <w:szCs w:val="20"/>
              </w:rPr>
              <w:t>May fear and/or experience stigma and discrimination when accessing healthcare</w:t>
            </w:r>
          </w:p>
          <w:p w14:paraId="58C0D58E" w14:textId="2BA0578C" w:rsidR="00854723" w:rsidRPr="00442D9E" w:rsidRDefault="00854723" w:rsidP="0030072C">
            <w:pPr>
              <w:pStyle w:val="BodyText"/>
              <w:rPr>
                <w:rFonts w:cs="Arial"/>
                <w:color w:val="000000" w:themeColor="text1"/>
                <w:sz w:val="20"/>
                <w:szCs w:val="20"/>
              </w:rPr>
            </w:pPr>
            <w:r w:rsidRPr="00442D9E">
              <w:rPr>
                <w:rFonts w:cs="Arial"/>
                <w:color w:val="000000" w:themeColor="text1"/>
                <w:sz w:val="20"/>
                <w:szCs w:val="20"/>
              </w:rPr>
              <w:t>Culturally appropriate services</w:t>
            </w:r>
            <w:r w:rsidR="00EA34F9">
              <w:rPr>
                <w:rFonts w:cs="Arial"/>
                <w:color w:val="000000" w:themeColor="text1"/>
                <w:sz w:val="20"/>
                <w:szCs w:val="20"/>
              </w:rPr>
              <w:t xml:space="preserve"> are</w:t>
            </w:r>
            <w:r w:rsidRPr="00442D9E">
              <w:rPr>
                <w:rFonts w:cs="Arial"/>
                <w:color w:val="000000" w:themeColor="text1"/>
                <w:sz w:val="20"/>
                <w:szCs w:val="20"/>
              </w:rPr>
              <w:t xml:space="preserve"> not always accessible </w:t>
            </w:r>
          </w:p>
          <w:p w14:paraId="4D6883C1" w14:textId="61557550" w:rsidR="00854723" w:rsidRDefault="009D5081" w:rsidP="0030072C">
            <w:pPr>
              <w:spacing w:after="120"/>
              <w:rPr>
                <w:rFonts w:cs="Arial"/>
                <w:color w:val="000000" w:themeColor="text1"/>
                <w:sz w:val="20"/>
                <w:szCs w:val="20"/>
              </w:rPr>
            </w:pPr>
            <w:r>
              <w:rPr>
                <w:rFonts w:cs="Arial"/>
                <w:color w:val="000000" w:themeColor="text1"/>
                <w:sz w:val="20"/>
                <w:szCs w:val="20"/>
              </w:rPr>
              <w:t xml:space="preserve">61% of </w:t>
            </w:r>
            <w:r w:rsidR="009E5590" w:rsidRPr="009E5590">
              <w:rPr>
                <w:rFonts w:cs="Arial"/>
                <w:color w:val="000000" w:themeColor="text1"/>
                <w:sz w:val="20"/>
                <w:szCs w:val="20"/>
              </w:rPr>
              <w:t>Aboriginal and Torres Strait Islander</w:t>
            </w:r>
            <w:r>
              <w:rPr>
                <w:rFonts w:cs="Arial"/>
                <w:color w:val="000000" w:themeColor="text1"/>
                <w:sz w:val="20"/>
                <w:szCs w:val="20"/>
              </w:rPr>
              <w:t xml:space="preserve"> people live</w:t>
            </w:r>
            <w:r w:rsidR="00854723" w:rsidRPr="00442D9E">
              <w:rPr>
                <w:rFonts w:cs="Arial"/>
                <w:color w:val="000000" w:themeColor="text1"/>
                <w:sz w:val="20"/>
                <w:szCs w:val="20"/>
              </w:rPr>
              <w:t xml:space="preserve"> in </w:t>
            </w:r>
            <w:r w:rsidR="007F2F32">
              <w:rPr>
                <w:rFonts w:cs="Arial"/>
                <w:color w:val="000000" w:themeColor="text1"/>
                <w:sz w:val="20"/>
                <w:szCs w:val="20"/>
              </w:rPr>
              <w:t xml:space="preserve">inner and outer </w:t>
            </w:r>
            <w:r w:rsidR="00854723" w:rsidRPr="00442D9E">
              <w:rPr>
                <w:rFonts w:cs="Arial"/>
                <w:color w:val="000000" w:themeColor="text1"/>
                <w:sz w:val="20"/>
                <w:szCs w:val="20"/>
              </w:rPr>
              <w:t xml:space="preserve">regional, remote </w:t>
            </w:r>
            <w:r w:rsidR="00442C1D">
              <w:rPr>
                <w:rFonts w:cs="Arial"/>
                <w:color w:val="000000" w:themeColor="text1"/>
                <w:sz w:val="20"/>
                <w:szCs w:val="20"/>
              </w:rPr>
              <w:t xml:space="preserve">and very remote </w:t>
            </w:r>
            <w:r w:rsidR="00854723" w:rsidRPr="00442D9E">
              <w:rPr>
                <w:rFonts w:cs="Arial"/>
                <w:color w:val="000000" w:themeColor="text1"/>
                <w:sz w:val="20"/>
                <w:szCs w:val="20"/>
              </w:rPr>
              <w:t>areas</w:t>
            </w:r>
            <w:r w:rsidR="008B43F1">
              <w:rPr>
                <w:rFonts w:ascii="ZWAdobeF" w:hAnsi="ZWAdobeF" w:cs="ZWAdobeF"/>
                <w:sz w:val="2"/>
                <w:szCs w:val="2"/>
              </w:rPr>
              <w:t>69F</w:t>
            </w:r>
            <w:r w:rsidR="009C4FA5">
              <w:rPr>
                <w:rStyle w:val="EndnoteReference"/>
                <w:rFonts w:cs="Arial"/>
                <w:color w:val="000000" w:themeColor="text1"/>
                <w:sz w:val="20"/>
                <w:szCs w:val="20"/>
              </w:rPr>
              <w:endnoteReference w:id="69"/>
            </w:r>
            <w:r w:rsidR="00854723" w:rsidRPr="00442D9E">
              <w:rPr>
                <w:rFonts w:cs="Arial"/>
                <w:color w:val="000000" w:themeColor="text1"/>
                <w:sz w:val="20"/>
                <w:szCs w:val="20"/>
              </w:rPr>
              <w:t>,</w:t>
            </w:r>
            <w:r>
              <w:rPr>
                <w:rFonts w:cs="Arial"/>
                <w:color w:val="000000" w:themeColor="text1"/>
                <w:sz w:val="20"/>
                <w:szCs w:val="20"/>
              </w:rPr>
              <w:t xml:space="preserve"> therefore</w:t>
            </w:r>
            <w:r w:rsidR="00854723" w:rsidRPr="00442D9E">
              <w:rPr>
                <w:rFonts w:cs="Arial"/>
                <w:color w:val="000000" w:themeColor="text1"/>
                <w:sz w:val="20"/>
                <w:szCs w:val="20"/>
              </w:rPr>
              <w:t xml:space="preserve"> face long geographical distance to sexual health services</w:t>
            </w:r>
          </w:p>
          <w:p w14:paraId="59E21BF7" w14:textId="26827A5F" w:rsidR="00854723" w:rsidRDefault="00854723" w:rsidP="0030072C">
            <w:pPr>
              <w:spacing w:after="120"/>
              <w:rPr>
                <w:rFonts w:cs="Arial"/>
                <w:color w:val="000000" w:themeColor="text1"/>
                <w:sz w:val="20"/>
                <w:szCs w:val="20"/>
              </w:rPr>
            </w:pPr>
            <w:r w:rsidRPr="00442D9E">
              <w:rPr>
                <w:rFonts w:cs="Arial"/>
                <w:color w:val="000000" w:themeColor="text1"/>
                <w:sz w:val="20"/>
                <w:szCs w:val="20"/>
              </w:rPr>
              <w:t>Impact of other health considerations</w:t>
            </w:r>
            <w:r w:rsidR="008B43F1">
              <w:rPr>
                <w:rFonts w:ascii="ZWAdobeF" w:hAnsi="ZWAdobeF" w:cs="ZWAdobeF"/>
                <w:sz w:val="2"/>
                <w:szCs w:val="2"/>
              </w:rPr>
              <w:t>70F</w:t>
            </w:r>
            <w:r w:rsidRPr="00442D9E">
              <w:rPr>
                <w:rStyle w:val="EndnoteReference"/>
                <w:rFonts w:cs="Arial"/>
                <w:color w:val="000000" w:themeColor="text1"/>
                <w:sz w:val="20"/>
                <w:szCs w:val="20"/>
              </w:rPr>
              <w:endnoteReference w:id="70"/>
            </w:r>
          </w:p>
          <w:p w14:paraId="4A3FE3A9" w14:textId="769D4F19" w:rsidR="00854723" w:rsidRPr="00666CCE" w:rsidRDefault="00854723" w:rsidP="0030072C">
            <w:pPr>
              <w:spacing w:after="120"/>
              <w:rPr>
                <w:rFonts w:cs="Arial"/>
                <w:color w:val="000000" w:themeColor="text1"/>
                <w:sz w:val="20"/>
                <w:szCs w:val="20"/>
              </w:rPr>
            </w:pPr>
            <w:r w:rsidRPr="00442D9E">
              <w:rPr>
                <w:rFonts w:cs="Arial"/>
                <w:color w:val="000000" w:themeColor="text1"/>
                <w:sz w:val="20"/>
                <w:szCs w:val="20"/>
              </w:rPr>
              <w:t>Lack of early access/engagement with antenatal services reduces opportunities for recommended antenatal STI screening/testing, treatment, and increases risk for congenital syphilis</w:t>
            </w:r>
            <w:r w:rsidR="008B43F1">
              <w:rPr>
                <w:rFonts w:ascii="ZWAdobeF" w:hAnsi="ZWAdobeF" w:cs="ZWAdobeF"/>
                <w:sz w:val="2"/>
                <w:szCs w:val="2"/>
              </w:rPr>
              <w:t>71F</w:t>
            </w:r>
            <w:r w:rsidRPr="00442D9E">
              <w:rPr>
                <w:rStyle w:val="EndnoteReference"/>
                <w:rFonts w:cs="Arial"/>
                <w:color w:val="000000" w:themeColor="text1"/>
                <w:sz w:val="20"/>
                <w:szCs w:val="20"/>
              </w:rPr>
              <w:endnoteReference w:id="71"/>
            </w:r>
          </w:p>
        </w:tc>
      </w:tr>
      <w:tr w:rsidR="00865DBB" w:rsidRPr="005B76E5" w14:paraId="6C1117D9"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40E6F0F8" w14:textId="649D0337" w:rsidR="00854723" w:rsidRPr="003B2996" w:rsidRDefault="00854723" w:rsidP="00686C1F">
            <w:pPr>
              <w:pStyle w:val="BodyText"/>
              <w:spacing w:before="60"/>
              <w:rPr>
                <w:rFonts w:cs="Arial"/>
                <w:color w:val="000000" w:themeColor="text1"/>
                <w:sz w:val="20"/>
                <w:szCs w:val="20"/>
              </w:rPr>
            </w:pPr>
            <w:r w:rsidRPr="003B2996">
              <w:rPr>
                <w:rFonts w:cs="Arial"/>
                <w:color w:val="000000" w:themeColor="text1"/>
                <w:sz w:val="20"/>
                <w:szCs w:val="20"/>
              </w:rPr>
              <w:t>Key STI epidemiology</w:t>
            </w:r>
          </w:p>
        </w:tc>
        <w:tc>
          <w:tcPr>
            <w:tcW w:w="4177" w:type="pct"/>
            <w:tcBorders>
              <w:left w:val="nil"/>
            </w:tcBorders>
          </w:tcPr>
          <w:p w14:paraId="5D1A4084" w14:textId="6659297F" w:rsidR="00854723" w:rsidRPr="00442D9E" w:rsidRDefault="00854723" w:rsidP="00686C1F">
            <w:pPr>
              <w:spacing w:before="60" w:after="120"/>
              <w:rPr>
                <w:rFonts w:cs="Arial"/>
                <w:color w:val="000000" w:themeColor="text1"/>
                <w:sz w:val="20"/>
                <w:szCs w:val="20"/>
              </w:rPr>
            </w:pPr>
            <w:r w:rsidRPr="00442D9E">
              <w:rPr>
                <w:rFonts w:cs="Arial"/>
                <w:color w:val="000000" w:themeColor="text1"/>
                <w:sz w:val="20"/>
                <w:szCs w:val="20"/>
              </w:rPr>
              <w:t>Disproportionately</w:t>
            </w:r>
            <w:r w:rsidRPr="00442D9E" w:rsidDel="00186193">
              <w:rPr>
                <w:rFonts w:cs="Arial"/>
                <w:color w:val="000000" w:themeColor="text1"/>
                <w:sz w:val="20"/>
                <w:szCs w:val="20"/>
              </w:rPr>
              <w:t xml:space="preserve"> </w:t>
            </w:r>
            <w:r w:rsidRPr="00442D9E">
              <w:rPr>
                <w:rFonts w:cs="Arial"/>
                <w:color w:val="000000" w:themeColor="text1"/>
                <w:sz w:val="20"/>
                <w:szCs w:val="20"/>
              </w:rPr>
              <w:t>burdened by STI compared with non-Indigenous Australians</w:t>
            </w:r>
          </w:p>
          <w:p w14:paraId="5329E4F0" w14:textId="77777777" w:rsidR="00854723" w:rsidRPr="00442D9E" w:rsidRDefault="00854723" w:rsidP="0030072C">
            <w:pPr>
              <w:spacing w:after="120"/>
              <w:rPr>
                <w:rFonts w:cs="Arial"/>
                <w:color w:val="000000" w:themeColor="text1"/>
                <w:sz w:val="20"/>
                <w:szCs w:val="20"/>
              </w:rPr>
            </w:pPr>
            <w:r w:rsidRPr="00442D9E">
              <w:rPr>
                <w:rFonts w:cs="Arial"/>
                <w:color w:val="000000" w:themeColor="text1"/>
                <w:sz w:val="20"/>
                <w:szCs w:val="20"/>
              </w:rPr>
              <w:t>Increase in STI notifications noted in recent years</w:t>
            </w:r>
          </w:p>
          <w:p w14:paraId="76B72B9D" w14:textId="1FEA8876" w:rsidR="00854723" w:rsidRPr="00442D9E" w:rsidRDefault="00854723" w:rsidP="0030072C">
            <w:pPr>
              <w:pStyle w:val="BodyText"/>
              <w:rPr>
                <w:rFonts w:cs="Arial"/>
                <w:color w:val="000000" w:themeColor="text1"/>
                <w:sz w:val="20"/>
                <w:szCs w:val="20"/>
              </w:rPr>
            </w:pPr>
            <w:r w:rsidRPr="00442D9E">
              <w:rPr>
                <w:rFonts w:cs="Arial"/>
                <w:color w:val="000000" w:themeColor="text1"/>
                <w:sz w:val="20"/>
                <w:szCs w:val="20"/>
              </w:rPr>
              <w:t xml:space="preserve">Congenital syphilis </w:t>
            </w:r>
            <w:r w:rsidR="00FE60B2">
              <w:rPr>
                <w:rFonts w:cs="Arial"/>
                <w:color w:val="000000" w:themeColor="text1"/>
                <w:sz w:val="20"/>
                <w:szCs w:val="20"/>
              </w:rPr>
              <w:t>is a</w:t>
            </w:r>
            <w:r w:rsidRPr="00442D9E">
              <w:rPr>
                <w:rFonts w:cs="Arial"/>
                <w:color w:val="000000" w:themeColor="text1"/>
                <w:sz w:val="20"/>
                <w:szCs w:val="20"/>
              </w:rPr>
              <w:t xml:space="preserve"> continuing concern – over 80% of all people giving birth to an infant with congenital syphilis were diagnosed late in pregnancy;</w:t>
            </w:r>
            <w:r w:rsidR="008B43F1">
              <w:rPr>
                <w:rFonts w:ascii="ZWAdobeF" w:hAnsi="ZWAdobeF" w:cs="ZWAdobeF"/>
                <w:sz w:val="2"/>
                <w:szCs w:val="2"/>
              </w:rPr>
              <w:t>72F</w:t>
            </w:r>
            <w:r w:rsidRPr="00442D9E">
              <w:rPr>
                <w:rStyle w:val="EndnoteReference"/>
                <w:rFonts w:cs="Arial"/>
                <w:color w:val="000000" w:themeColor="text1"/>
                <w:sz w:val="20"/>
                <w:szCs w:val="20"/>
              </w:rPr>
              <w:endnoteReference w:id="72"/>
            </w:r>
            <w:r w:rsidRPr="00442D9E">
              <w:rPr>
                <w:rFonts w:cs="Arial"/>
                <w:color w:val="000000" w:themeColor="text1"/>
                <w:sz w:val="20"/>
                <w:szCs w:val="20"/>
              </w:rPr>
              <w:t xml:space="preserve"> </w:t>
            </w:r>
            <w:r w:rsidR="009E5590">
              <w:rPr>
                <w:rFonts w:cs="Arial"/>
                <w:color w:val="000000" w:themeColor="text1"/>
                <w:sz w:val="20"/>
                <w:szCs w:val="20"/>
              </w:rPr>
              <w:t>Aboriginal and Torres Strait Islander</w:t>
            </w:r>
            <w:r w:rsidR="006953C3">
              <w:rPr>
                <w:rFonts w:cs="Arial"/>
                <w:color w:val="000000" w:themeColor="text1"/>
                <w:sz w:val="20"/>
                <w:szCs w:val="20"/>
              </w:rPr>
              <w:t xml:space="preserve"> </w:t>
            </w:r>
            <w:r w:rsidR="00FE60B2">
              <w:rPr>
                <w:rFonts w:cs="Arial"/>
                <w:color w:val="000000" w:themeColor="text1"/>
                <w:sz w:val="20"/>
                <w:szCs w:val="20"/>
              </w:rPr>
              <w:t>infants</w:t>
            </w:r>
            <w:r w:rsidRPr="00442D9E">
              <w:rPr>
                <w:rFonts w:cs="Arial"/>
                <w:color w:val="000000" w:themeColor="text1"/>
                <w:sz w:val="20"/>
                <w:szCs w:val="20"/>
              </w:rPr>
              <w:t xml:space="preserve"> </w:t>
            </w:r>
            <w:r w:rsidR="00A72823">
              <w:rPr>
                <w:rFonts w:cs="Arial"/>
                <w:color w:val="000000" w:themeColor="text1"/>
                <w:sz w:val="20"/>
                <w:szCs w:val="20"/>
              </w:rPr>
              <w:t xml:space="preserve">are </w:t>
            </w:r>
            <w:r w:rsidRPr="00442D9E">
              <w:rPr>
                <w:rFonts w:cs="Arial"/>
                <w:color w:val="000000" w:themeColor="text1"/>
                <w:sz w:val="20"/>
                <w:szCs w:val="20"/>
              </w:rPr>
              <w:t>disproportionately affected by congenital syphilis</w:t>
            </w:r>
            <w:r w:rsidR="008B43F1">
              <w:rPr>
                <w:rFonts w:ascii="ZWAdobeF" w:hAnsi="ZWAdobeF" w:cs="ZWAdobeF"/>
                <w:sz w:val="2"/>
                <w:szCs w:val="2"/>
              </w:rPr>
              <w:t>73F</w:t>
            </w:r>
            <w:r w:rsidRPr="00442D9E">
              <w:rPr>
                <w:rStyle w:val="EndnoteReference"/>
                <w:rFonts w:cs="Arial"/>
                <w:color w:val="000000" w:themeColor="text1"/>
                <w:sz w:val="20"/>
                <w:szCs w:val="20"/>
              </w:rPr>
              <w:endnoteReference w:id="73"/>
            </w:r>
          </w:p>
        </w:tc>
      </w:tr>
      <w:tr w:rsidR="00865DBB" w:rsidRPr="005B76E5" w14:paraId="12BD7B0D"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4291BFD8" w14:textId="3BF751DD" w:rsidR="00854723" w:rsidRPr="003B2996" w:rsidRDefault="00854723" w:rsidP="00686C1F">
            <w:pPr>
              <w:pStyle w:val="BodyText"/>
              <w:spacing w:before="60"/>
              <w:rPr>
                <w:rFonts w:cs="Arial"/>
                <w:color w:val="000000" w:themeColor="text1"/>
                <w:sz w:val="20"/>
                <w:szCs w:val="20"/>
              </w:rPr>
            </w:pPr>
            <w:r w:rsidRPr="003B2996">
              <w:rPr>
                <w:rFonts w:cs="Arial"/>
                <w:color w:val="000000" w:themeColor="text1"/>
                <w:sz w:val="20"/>
                <w:szCs w:val="20"/>
              </w:rPr>
              <w:t>Other considerations</w:t>
            </w:r>
          </w:p>
        </w:tc>
        <w:tc>
          <w:tcPr>
            <w:tcW w:w="4177" w:type="pct"/>
            <w:tcBorders>
              <w:left w:val="nil"/>
            </w:tcBorders>
          </w:tcPr>
          <w:p w14:paraId="30F0A46B" w14:textId="28D54745" w:rsidR="00854723" w:rsidRPr="00442D9E" w:rsidRDefault="00854723" w:rsidP="00686C1F">
            <w:pPr>
              <w:pStyle w:val="BodyText"/>
              <w:spacing w:before="60"/>
              <w:rPr>
                <w:rFonts w:cs="Arial"/>
                <w:color w:val="000000" w:themeColor="text1"/>
                <w:sz w:val="20"/>
                <w:szCs w:val="20"/>
              </w:rPr>
            </w:pPr>
            <w:r w:rsidRPr="00442D9E">
              <w:rPr>
                <w:rFonts w:cs="Arial"/>
                <w:color w:val="000000" w:themeColor="text1"/>
                <w:sz w:val="20"/>
                <w:szCs w:val="20"/>
              </w:rPr>
              <w:t xml:space="preserve">Closing the gap in STI requires: </w:t>
            </w:r>
          </w:p>
          <w:p w14:paraId="1AE065C7" w14:textId="7A7B69DC" w:rsidR="00854723" w:rsidRPr="00442D9E" w:rsidRDefault="00854723" w:rsidP="008B43F1">
            <w:pPr>
              <w:pStyle w:val="BodyText"/>
              <w:numPr>
                <w:ilvl w:val="0"/>
                <w:numId w:val="28"/>
              </w:numPr>
              <w:rPr>
                <w:rFonts w:cs="Arial"/>
                <w:color w:val="000000" w:themeColor="text1"/>
                <w:sz w:val="20"/>
                <w:szCs w:val="20"/>
              </w:rPr>
            </w:pPr>
            <w:r w:rsidRPr="00442D9E">
              <w:rPr>
                <w:rFonts w:cs="Arial"/>
                <w:color w:val="000000" w:themeColor="text1"/>
                <w:sz w:val="20"/>
                <w:szCs w:val="20"/>
              </w:rPr>
              <w:t>Culturally appropriate education, prevention, testing, treatment</w:t>
            </w:r>
            <w:r w:rsidR="0037420A">
              <w:rPr>
                <w:rFonts w:cs="Arial"/>
                <w:color w:val="000000" w:themeColor="text1"/>
                <w:sz w:val="20"/>
                <w:szCs w:val="20"/>
              </w:rPr>
              <w:t>,</w:t>
            </w:r>
            <w:r w:rsidRPr="00442D9E">
              <w:rPr>
                <w:rFonts w:cs="Arial"/>
                <w:color w:val="000000" w:themeColor="text1"/>
                <w:sz w:val="20"/>
                <w:szCs w:val="20"/>
              </w:rPr>
              <w:t xml:space="preserve"> and care</w:t>
            </w:r>
          </w:p>
          <w:p w14:paraId="2DAD5305" w14:textId="77777777" w:rsidR="00854723" w:rsidRPr="00442D9E" w:rsidRDefault="00854723" w:rsidP="008B43F1">
            <w:pPr>
              <w:pStyle w:val="BodyText"/>
              <w:numPr>
                <w:ilvl w:val="0"/>
                <w:numId w:val="28"/>
              </w:numPr>
              <w:rPr>
                <w:rFonts w:cs="Arial"/>
                <w:color w:val="000000" w:themeColor="text1"/>
                <w:sz w:val="20"/>
                <w:szCs w:val="20"/>
              </w:rPr>
            </w:pPr>
            <w:r w:rsidRPr="00442D9E">
              <w:rPr>
                <w:rFonts w:cs="Arial"/>
                <w:color w:val="000000" w:themeColor="text1"/>
                <w:sz w:val="20"/>
                <w:szCs w:val="20"/>
              </w:rPr>
              <w:t>Adequately resourced Aboriginal Community Controlled Health Services and Aboriginal Medical Services</w:t>
            </w:r>
          </w:p>
          <w:p w14:paraId="6C79ABB7" w14:textId="73114775" w:rsidR="00854723" w:rsidRPr="00442D9E" w:rsidRDefault="00854723" w:rsidP="008B43F1">
            <w:pPr>
              <w:pStyle w:val="BodyText"/>
              <w:numPr>
                <w:ilvl w:val="0"/>
                <w:numId w:val="28"/>
              </w:numPr>
              <w:rPr>
                <w:rFonts w:cs="Arial"/>
                <w:color w:val="000000" w:themeColor="text1"/>
                <w:sz w:val="20"/>
                <w:szCs w:val="20"/>
              </w:rPr>
            </w:pPr>
            <w:r w:rsidRPr="00442D9E">
              <w:rPr>
                <w:rFonts w:cs="Arial"/>
                <w:color w:val="000000" w:themeColor="text1"/>
                <w:sz w:val="20"/>
                <w:szCs w:val="20"/>
              </w:rPr>
              <w:t xml:space="preserve">Acknowledging and strengthening the role of </w:t>
            </w:r>
            <w:r w:rsidR="009E5590" w:rsidRPr="009E5590">
              <w:rPr>
                <w:rFonts w:cs="Arial"/>
                <w:color w:val="000000" w:themeColor="text1"/>
                <w:sz w:val="20"/>
                <w:szCs w:val="20"/>
              </w:rPr>
              <w:t>Aboriginal and Torres Strait Islander</w:t>
            </w:r>
            <w:r w:rsidR="00A801D5">
              <w:rPr>
                <w:rFonts w:cs="Arial"/>
                <w:color w:val="000000" w:themeColor="text1"/>
                <w:sz w:val="20"/>
                <w:szCs w:val="20"/>
              </w:rPr>
              <w:t xml:space="preserve"> </w:t>
            </w:r>
            <w:r w:rsidRPr="00442D9E">
              <w:rPr>
                <w:rFonts w:cs="Arial"/>
                <w:color w:val="000000" w:themeColor="text1"/>
                <w:sz w:val="20"/>
                <w:szCs w:val="20"/>
              </w:rPr>
              <w:t>health workers in sexual health</w:t>
            </w:r>
          </w:p>
        </w:tc>
      </w:tr>
      <w:tr w:rsidR="00665E54" w:rsidRPr="005B76E5" w14:paraId="07527C08" w14:textId="77777777" w:rsidTr="00A0728C">
        <w:trPr>
          <w:cantSplit/>
          <w:trHeight w:val="352"/>
        </w:trPr>
        <w:tc>
          <w:tcPr>
            <w:tcW w:w="5000" w:type="pct"/>
            <w:gridSpan w:val="2"/>
            <w:shd w:val="clear" w:color="auto" w:fill="FE9648"/>
          </w:tcPr>
          <w:p w14:paraId="29784DEE" w14:textId="35FCA0C9" w:rsidR="00665E54" w:rsidRPr="003B2996" w:rsidRDefault="00D100D9" w:rsidP="00EF14EE">
            <w:pPr>
              <w:pStyle w:val="BodyText"/>
              <w:spacing w:before="60" w:after="60"/>
              <w:rPr>
                <w:rFonts w:cs="Arial"/>
                <w:color w:val="000000" w:themeColor="text1"/>
                <w:sz w:val="20"/>
                <w:szCs w:val="20"/>
              </w:rPr>
            </w:pPr>
            <w:r w:rsidRPr="003B2996">
              <w:rPr>
                <w:rFonts w:cs="Arial"/>
                <w:b/>
                <w:color w:val="000000" w:themeColor="text1"/>
                <w:sz w:val="20"/>
                <w:szCs w:val="20"/>
              </w:rPr>
              <w:lastRenderedPageBreak/>
              <w:t xml:space="preserve">Priority population: </w:t>
            </w:r>
            <w:r w:rsidR="00665E54" w:rsidRPr="003B2996">
              <w:rPr>
                <w:rFonts w:cs="Arial"/>
                <w:b/>
                <w:color w:val="000000" w:themeColor="text1"/>
                <w:sz w:val="20"/>
                <w:szCs w:val="20"/>
              </w:rPr>
              <w:t>Gay, bisexual and other men who have sex with men</w:t>
            </w:r>
          </w:p>
        </w:tc>
      </w:tr>
      <w:tr w:rsidR="00865DBB" w:rsidRPr="005B76E5" w14:paraId="24BC882E"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171382AA" w14:textId="05B420A1"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43117456" w14:textId="75FF7FA7"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May fear and/or experience stigma and discrimination when accessing healthcare</w:t>
            </w:r>
          </w:p>
          <w:p w14:paraId="5B85232C" w14:textId="168C84D4"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Challenges accessing services in regional, rural and remote areas</w:t>
            </w:r>
          </w:p>
          <w:p w14:paraId="62885F4A" w14:textId="4DE4CA5D"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Heterogeneity within group, taking intersectional identities into consideration with other priority populations, such as brotherboys, men selling sex</w:t>
            </w:r>
            <w:r w:rsidR="0037420A">
              <w:rPr>
                <w:rFonts w:cs="Arial"/>
                <w:color w:val="000000" w:themeColor="text1"/>
                <w:sz w:val="20"/>
                <w:szCs w:val="20"/>
              </w:rPr>
              <w:t>,</w:t>
            </w:r>
            <w:r w:rsidRPr="00442D9E">
              <w:rPr>
                <w:rFonts w:cs="Arial"/>
                <w:color w:val="000000" w:themeColor="text1"/>
                <w:sz w:val="20"/>
                <w:szCs w:val="20"/>
              </w:rPr>
              <w:t xml:space="preserve"> and men from non-English-speaking backgrounds</w:t>
            </w:r>
          </w:p>
        </w:tc>
      </w:tr>
      <w:tr w:rsidR="00865DBB" w:rsidRPr="005B76E5" w14:paraId="77272083"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5A208DB8" w14:textId="6A54723D"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Key STI epidemiology</w:t>
            </w:r>
          </w:p>
        </w:tc>
        <w:tc>
          <w:tcPr>
            <w:tcW w:w="4177" w:type="pct"/>
            <w:tcBorders>
              <w:left w:val="nil"/>
            </w:tcBorders>
          </w:tcPr>
          <w:p w14:paraId="7D40E944" w14:textId="0381E0E6"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Disproportionately affected by STI compared with the general population</w:t>
            </w:r>
            <w:r w:rsidR="008B43F1">
              <w:rPr>
                <w:rFonts w:ascii="ZWAdobeF" w:hAnsi="ZWAdobeF" w:cs="ZWAdobeF"/>
                <w:sz w:val="2"/>
                <w:szCs w:val="2"/>
              </w:rPr>
              <w:t>74F</w:t>
            </w:r>
            <w:r w:rsidRPr="00442D9E">
              <w:rPr>
                <w:rStyle w:val="EndnoteReference"/>
                <w:rFonts w:cs="Arial"/>
                <w:color w:val="000000" w:themeColor="text1"/>
                <w:sz w:val="20"/>
                <w:szCs w:val="20"/>
              </w:rPr>
              <w:endnoteReference w:id="74"/>
            </w:r>
          </w:p>
          <w:p w14:paraId="7DF1A006" w14:textId="286C5CA2" w:rsidR="003376A9" w:rsidRPr="00442D9E" w:rsidRDefault="003376A9" w:rsidP="003376A9">
            <w:pPr>
              <w:pStyle w:val="BodyText"/>
              <w:rPr>
                <w:rFonts w:eastAsiaTheme="minorEastAsia" w:cs="Arial"/>
                <w:color w:val="000000" w:themeColor="text1"/>
                <w:sz w:val="20"/>
                <w:szCs w:val="20"/>
              </w:rPr>
            </w:pPr>
            <w:r w:rsidRPr="00442D9E">
              <w:rPr>
                <w:rFonts w:eastAsiaTheme="minorEastAsia" w:cs="Arial"/>
                <w:color w:val="000000" w:themeColor="text1"/>
                <w:sz w:val="20"/>
                <w:szCs w:val="20"/>
              </w:rPr>
              <w:t xml:space="preserve">Gonorrhoea and infectious syphilis diagnosed more frequently </w:t>
            </w:r>
            <w:r w:rsidR="00146075" w:rsidRPr="00442D9E">
              <w:rPr>
                <w:rFonts w:eastAsiaTheme="minorEastAsia" w:cs="Arial"/>
                <w:color w:val="000000" w:themeColor="text1"/>
                <w:sz w:val="20"/>
                <w:szCs w:val="20"/>
              </w:rPr>
              <w:t>(2016-2021)</w:t>
            </w:r>
          </w:p>
          <w:p w14:paraId="23C6DF13" w14:textId="15567DD7" w:rsidR="003376A9" w:rsidRPr="00442D9E" w:rsidRDefault="003376A9" w:rsidP="003376A9">
            <w:pPr>
              <w:pStyle w:val="BodyText"/>
              <w:rPr>
                <w:rFonts w:eastAsiaTheme="minorEastAsia" w:cs="Arial"/>
                <w:color w:val="000000" w:themeColor="text1"/>
                <w:sz w:val="20"/>
                <w:szCs w:val="20"/>
              </w:rPr>
            </w:pPr>
            <w:r w:rsidRPr="00442D9E">
              <w:rPr>
                <w:rFonts w:eastAsiaTheme="minorEastAsia" w:cs="Arial"/>
                <w:color w:val="000000" w:themeColor="text1"/>
                <w:sz w:val="20"/>
                <w:szCs w:val="20"/>
              </w:rPr>
              <w:t>Infectious syphilis incidence and chlamydia notifications increased (2012-2021)</w:t>
            </w:r>
          </w:p>
          <w:p w14:paraId="2DE9A336" w14:textId="1F689CCB"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Different rates of STI cases noted between men who have sex with men who are HIV-positive and HIV-negative</w:t>
            </w:r>
          </w:p>
        </w:tc>
      </w:tr>
      <w:tr w:rsidR="00865DBB" w:rsidRPr="005B76E5" w14:paraId="2880A13D"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38623865" w14:textId="44AF7F60"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Other considerations</w:t>
            </w:r>
          </w:p>
        </w:tc>
        <w:tc>
          <w:tcPr>
            <w:tcW w:w="4177" w:type="pct"/>
            <w:tcBorders>
              <w:left w:val="nil"/>
            </w:tcBorders>
          </w:tcPr>
          <w:p w14:paraId="48634050" w14:textId="289D9CB7" w:rsidR="003376A9" w:rsidRPr="00442D9E" w:rsidRDefault="003376A9" w:rsidP="00686C1F">
            <w:pPr>
              <w:pStyle w:val="BodyText"/>
              <w:spacing w:before="60"/>
              <w:rPr>
                <w:rFonts w:eastAsiaTheme="minorEastAsia" w:cs="Arial"/>
                <w:color w:val="000000" w:themeColor="text1"/>
                <w:sz w:val="20"/>
                <w:szCs w:val="20"/>
              </w:rPr>
            </w:pPr>
            <w:r w:rsidRPr="00442D9E">
              <w:rPr>
                <w:rFonts w:eastAsiaTheme="minorEastAsia" w:cs="Arial"/>
                <w:color w:val="000000" w:themeColor="text1"/>
                <w:sz w:val="20"/>
                <w:szCs w:val="20"/>
              </w:rPr>
              <w:t>Recent trend towards more frequent comprehensive STI screening, particularly in urban areas, as reported by the Gay Community Periodic Survey</w:t>
            </w:r>
            <w:r w:rsidR="008B43F1">
              <w:rPr>
                <w:rFonts w:ascii="ZWAdobeF" w:eastAsiaTheme="minorEastAsia" w:hAnsi="ZWAdobeF" w:cs="ZWAdobeF"/>
                <w:sz w:val="2"/>
                <w:szCs w:val="2"/>
              </w:rPr>
              <w:t>75F</w:t>
            </w:r>
            <w:r w:rsidRPr="00442D9E">
              <w:rPr>
                <w:rStyle w:val="EndnoteReference"/>
                <w:rFonts w:eastAsiaTheme="minorEastAsia" w:cs="Arial"/>
                <w:color w:val="000000" w:themeColor="text1"/>
                <w:sz w:val="20"/>
                <w:szCs w:val="20"/>
              </w:rPr>
              <w:endnoteReference w:id="75"/>
            </w:r>
            <w:r w:rsidRPr="00442D9E">
              <w:rPr>
                <w:rFonts w:eastAsiaTheme="minorEastAsia" w:cs="Arial"/>
                <w:color w:val="000000" w:themeColor="text1"/>
                <w:sz w:val="20"/>
                <w:szCs w:val="20"/>
              </w:rPr>
              <w:t xml:space="preserve"> </w:t>
            </w:r>
          </w:p>
          <w:p w14:paraId="017692F4" w14:textId="4191E50F" w:rsidR="003376A9" w:rsidRPr="00442D9E" w:rsidRDefault="003376A9" w:rsidP="003376A9">
            <w:pPr>
              <w:pStyle w:val="BodyText"/>
              <w:rPr>
                <w:rFonts w:eastAsiaTheme="minorEastAsia" w:cs="Arial"/>
                <w:color w:val="000000" w:themeColor="text1"/>
                <w:sz w:val="20"/>
                <w:szCs w:val="20"/>
              </w:rPr>
            </w:pPr>
            <w:r w:rsidRPr="00442D9E">
              <w:rPr>
                <w:rFonts w:eastAsiaTheme="minorEastAsia" w:cs="Arial"/>
                <w:color w:val="000000" w:themeColor="text1"/>
                <w:sz w:val="20"/>
                <w:szCs w:val="20"/>
              </w:rPr>
              <w:t>Greater availability and awareness of highly effective HIV prevention strategies</w:t>
            </w:r>
            <w:r w:rsidR="008B43F1">
              <w:rPr>
                <w:rFonts w:ascii="ZWAdobeF" w:eastAsiaTheme="minorEastAsia" w:hAnsi="ZWAdobeF" w:cs="ZWAdobeF"/>
                <w:sz w:val="2"/>
                <w:szCs w:val="2"/>
              </w:rPr>
              <w:t>76F</w:t>
            </w:r>
            <w:r w:rsidRPr="00442D9E">
              <w:rPr>
                <w:rStyle w:val="EndnoteReference"/>
                <w:rFonts w:eastAsiaTheme="minorEastAsia" w:cs="Arial"/>
                <w:color w:val="000000" w:themeColor="text1"/>
                <w:sz w:val="20"/>
                <w:szCs w:val="20"/>
              </w:rPr>
              <w:endnoteReference w:id="76"/>
            </w:r>
          </w:p>
          <w:p w14:paraId="2B1A3C1B" w14:textId="191BE9A0"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 xml:space="preserve">Evidence emerging </w:t>
            </w:r>
            <w:r w:rsidR="00A72823">
              <w:rPr>
                <w:rFonts w:cs="Arial"/>
                <w:color w:val="000000" w:themeColor="text1"/>
                <w:sz w:val="20"/>
                <w:szCs w:val="20"/>
              </w:rPr>
              <w:t>on</w:t>
            </w:r>
            <w:r w:rsidRPr="00442D9E">
              <w:rPr>
                <w:rFonts w:cs="Arial"/>
                <w:color w:val="000000" w:themeColor="text1"/>
                <w:sz w:val="20"/>
                <w:szCs w:val="20"/>
              </w:rPr>
              <w:t xml:space="preserve"> the benefits and costs of vaccinating men who have sex with men for HPV to prevent anal cancer</w:t>
            </w:r>
          </w:p>
        </w:tc>
      </w:tr>
      <w:tr w:rsidR="00665E54" w:rsidRPr="005B76E5" w14:paraId="544F172C" w14:textId="77777777" w:rsidTr="00A0728C">
        <w:trPr>
          <w:cantSplit/>
          <w:trHeight w:val="352"/>
        </w:trPr>
        <w:tc>
          <w:tcPr>
            <w:tcW w:w="5000" w:type="pct"/>
            <w:gridSpan w:val="2"/>
            <w:shd w:val="clear" w:color="auto" w:fill="FE9648"/>
          </w:tcPr>
          <w:p w14:paraId="6506E369" w14:textId="1F87FE76" w:rsidR="00665E54" w:rsidRPr="003B2996" w:rsidRDefault="00D100D9" w:rsidP="00EF14EE">
            <w:pPr>
              <w:pStyle w:val="BodyText"/>
              <w:spacing w:before="60" w:after="60"/>
              <w:rPr>
                <w:rFonts w:cs="Arial"/>
                <w:color w:val="000000" w:themeColor="text1"/>
                <w:sz w:val="20"/>
                <w:szCs w:val="20"/>
              </w:rPr>
            </w:pPr>
            <w:r w:rsidRPr="003B2996">
              <w:rPr>
                <w:rFonts w:cs="Arial"/>
                <w:b/>
                <w:color w:val="000000" w:themeColor="text1"/>
                <w:sz w:val="20"/>
                <w:szCs w:val="20"/>
              </w:rPr>
              <w:t xml:space="preserve">Priority population: </w:t>
            </w:r>
            <w:r w:rsidR="00665E54" w:rsidRPr="003B2996">
              <w:rPr>
                <w:rFonts w:cs="Arial"/>
                <w:b/>
                <w:color w:val="000000" w:themeColor="text1"/>
                <w:sz w:val="20"/>
                <w:szCs w:val="20"/>
              </w:rPr>
              <w:t>People from culturally and linguistically diverse backgrounds, including people born overseas and international students, particularly those from non-English-speaking backgrounds</w:t>
            </w:r>
          </w:p>
        </w:tc>
      </w:tr>
      <w:tr w:rsidR="00865DBB" w:rsidRPr="005B76E5" w14:paraId="2BF5FF79"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021BF82D" w14:textId="0B22166E"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5AC0A446" w14:textId="150D3C5B"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Risk of power imbalances in sexual relationships</w:t>
            </w:r>
            <w:r w:rsidR="008B43F1">
              <w:rPr>
                <w:rFonts w:ascii="ZWAdobeF" w:hAnsi="ZWAdobeF" w:cs="ZWAdobeF"/>
                <w:sz w:val="2"/>
                <w:szCs w:val="2"/>
              </w:rPr>
              <w:t>77F</w:t>
            </w:r>
            <w:r w:rsidR="00892EAE">
              <w:rPr>
                <w:rStyle w:val="EndnoteReference"/>
                <w:rFonts w:cs="Arial"/>
                <w:color w:val="000000" w:themeColor="text1"/>
                <w:sz w:val="20"/>
                <w:szCs w:val="20"/>
              </w:rPr>
              <w:endnoteReference w:id="77"/>
            </w:r>
          </w:p>
          <w:p w14:paraId="43F53804" w14:textId="53A0B87E"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 xml:space="preserve">Limited access to Medicare and/or private health insurance </w:t>
            </w:r>
          </w:p>
          <w:p w14:paraId="1DF056C5" w14:textId="29943B94"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Limited knowledge and awareness of health and other support systems</w:t>
            </w:r>
          </w:p>
          <w:p w14:paraId="5D6AE05C" w14:textId="464223B7"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Encompass over 200 different language groups – accessing services in English can be challenging due to language barriers</w:t>
            </w:r>
          </w:p>
          <w:p w14:paraId="496805B1" w14:textId="31EE07E9"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Fear and/or experience of racism in healthcare settings or other community groups</w:t>
            </w:r>
          </w:p>
          <w:p w14:paraId="798CE8CA" w14:textId="2EF46678"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Some people, such as refugees, may have experienced multiple traumas as a result of war and dislocation, in addition to the impact of prejudice or persecution based on their sexual or gender identity</w:t>
            </w:r>
          </w:p>
          <w:p w14:paraId="060C967D" w14:textId="37D1229C"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STI, sex</w:t>
            </w:r>
            <w:r w:rsidR="00E26C9C">
              <w:rPr>
                <w:rFonts w:cs="Arial"/>
                <w:color w:val="000000" w:themeColor="text1"/>
                <w:sz w:val="20"/>
                <w:szCs w:val="20"/>
              </w:rPr>
              <w:t>,</w:t>
            </w:r>
            <w:r w:rsidRPr="00442D9E">
              <w:rPr>
                <w:rFonts w:cs="Arial"/>
                <w:color w:val="000000" w:themeColor="text1"/>
                <w:sz w:val="20"/>
                <w:szCs w:val="20"/>
              </w:rPr>
              <w:t xml:space="preserve"> and sexual health can be a very sensitive topic in many cultures</w:t>
            </w:r>
            <w:r w:rsidR="007209D7">
              <w:rPr>
                <w:rFonts w:cs="Arial"/>
                <w:color w:val="000000" w:themeColor="text1"/>
                <w:sz w:val="20"/>
                <w:szCs w:val="20"/>
              </w:rPr>
              <w:t xml:space="preserve"> due to </w:t>
            </w:r>
            <w:r w:rsidR="003E5DF1">
              <w:rPr>
                <w:rFonts w:cs="Arial"/>
                <w:color w:val="000000" w:themeColor="text1"/>
                <w:sz w:val="20"/>
                <w:szCs w:val="20"/>
              </w:rPr>
              <w:t>associated</w:t>
            </w:r>
            <w:r w:rsidR="007209D7">
              <w:rPr>
                <w:rFonts w:cs="Arial"/>
                <w:color w:val="000000" w:themeColor="text1"/>
                <w:sz w:val="20"/>
                <w:szCs w:val="20"/>
              </w:rPr>
              <w:t xml:space="preserve"> stigma and shame</w:t>
            </w:r>
            <w:r w:rsidR="008B43F1">
              <w:rPr>
                <w:rFonts w:ascii="ZWAdobeF" w:hAnsi="ZWAdobeF" w:cs="ZWAdobeF"/>
                <w:sz w:val="2"/>
                <w:szCs w:val="2"/>
              </w:rPr>
              <w:t>78F</w:t>
            </w:r>
            <w:r w:rsidRPr="00442D9E">
              <w:rPr>
                <w:rStyle w:val="EndnoteReference"/>
                <w:rFonts w:cs="Arial"/>
                <w:color w:val="000000" w:themeColor="text1"/>
                <w:sz w:val="20"/>
                <w:szCs w:val="20"/>
              </w:rPr>
              <w:endnoteReference w:id="78"/>
            </w:r>
          </w:p>
        </w:tc>
      </w:tr>
      <w:tr w:rsidR="00865DBB" w:rsidRPr="005B76E5" w14:paraId="54D2ED46"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18BB7181" w14:textId="35C335C1"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Key STI epidemiology</w:t>
            </w:r>
          </w:p>
        </w:tc>
        <w:tc>
          <w:tcPr>
            <w:tcW w:w="4177" w:type="pct"/>
            <w:tcBorders>
              <w:left w:val="nil"/>
            </w:tcBorders>
          </w:tcPr>
          <w:p w14:paraId="430F4C16" w14:textId="6D29934F" w:rsidR="003376A9" w:rsidRPr="00442D9E" w:rsidRDefault="003376A9" w:rsidP="00686C1F">
            <w:pPr>
              <w:spacing w:before="60" w:after="120"/>
              <w:rPr>
                <w:rFonts w:cs="Arial"/>
                <w:color w:val="000000" w:themeColor="text1"/>
                <w:sz w:val="20"/>
                <w:szCs w:val="20"/>
                <w:shd w:val="clear" w:color="auto" w:fill="FFFFFF"/>
              </w:rPr>
            </w:pPr>
            <w:r w:rsidRPr="00442D9E">
              <w:rPr>
                <w:rFonts w:cs="Arial"/>
                <w:color w:val="000000" w:themeColor="text1"/>
                <w:sz w:val="20"/>
                <w:szCs w:val="20"/>
                <w:shd w:val="clear" w:color="auto" w:fill="FFFFFF"/>
              </w:rPr>
              <w:t xml:space="preserve">Australian HIV notification rates </w:t>
            </w:r>
            <w:r w:rsidR="00DE394F">
              <w:rPr>
                <w:rFonts w:cs="Arial"/>
                <w:color w:val="000000" w:themeColor="text1"/>
                <w:sz w:val="20"/>
                <w:szCs w:val="20"/>
                <w:shd w:val="clear" w:color="auto" w:fill="FFFFFF"/>
              </w:rPr>
              <w:t xml:space="preserve">are </w:t>
            </w:r>
            <w:r w:rsidRPr="00442D9E">
              <w:rPr>
                <w:rFonts w:cs="Arial"/>
                <w:color w:val="000000" w:themeColor="text1"/>
                <w:sz w:val="20"/>
                <w:szCs w:val="20"/>
                <w:shd w:val="clear" w:color="auto" w:fill="FFFFFF"/>
              </w:rPr>
              <w:t>higher for people born in some areas in Northeast Asia, Southeast Asia</w:t>
            </w:r>
            <w:r w:rsidR="00E26C9C">
              <w:rPr>
                <w:rFonts w:cs="Arial"/>
                <w:color w:val="000000" w:themeColor="text1"/>
                <w:sz w:val="20"/>
                <w:szCs w:val="20"/>
                <w:shd w:val="clear" w:color="auto" w:fill="FFFFFF"/>
              </w:rPr>
              <w:t>,</w:t>
            </w:r>
            <w:r w:rsidRPr="00442D9E">
              <w:rPr>
                <w:rFonts w:cs="Arial"/>
                <w:color w:val="000000" w:themeColor="text1"/>
                <w:sz w:val="20"/>
                <w:szCs w:val="20"/>
                <w:shd w:val="clear" w:color="auto" w:fill="FFFFFF"/>
              </w:rPr>
              <w:t xml:space="preserve"> and sub-Saharan Africa compared with Australian-born people</w:t>
            </w:r>
            <w:r w:rsidR="008B43F1">
              <w:rPr>
                <w:rFonts w:ascii="ZWAdobeF" w:hAnsi="ZWAdobeF" w:cs="ZWAdobeF"/>
                <w:sz w:val="2"/>
                <w:szCs w:val="2"/>
                <w:shd w:val="clear" w:color="auto" w:fill="FFFFFF"/>
              </w:rPr>
              <w:t>79F</w:t>
            </w:r>
            <w:r w:rsidRPr="00442D9E">
              <w:rPr>
                <w:rStyle w:val="EndnoteReference"/>
                <w:rFonts w:cs="Arial"/>
                <w:color w:val="000000" w:themeColor="text1"/>
                <w:sz w:val="20"/>
                <w:szCs w:val="20"/>
                <w:shd w:val="clear" w:color="auto" w:fill="FFFFFF"/>
              </w:rPr>
              <w:endnoteReference w:id="79"/>
            </w:r>
          </w:p>
          <w:p w14:paraId="7E363C90" w14:textId="09C4B471" w:rsidR="003376A9" w:rsidRPr="00442D9E" w:rsidRDefault="003376A9" w:rsidP="003376A9">
            <w:pPr>
              <w:spacing w:after="120"/>
              <w:rPr>
                <w:rFonts w:cs="Arial"/>
                <w:color w:val="000000" w:themeColor="text1"/>
                <w:sz w:val="20"/>
                <w:szCs w:val="20"/>
                <w:shd w:val="clear" w:color="auto" w:fill="FFFFFF"/>
              </w:rPr>
            </w:pPr>
            <w:r w:rsidRPr="00442D9E">
              <w:rPr>
                <w:rFonts w:cs="Arial"/>
                <w:color w:val="000000" w:themeColor="text1"/>
                <w:sz w:val="20"/>
                <w:szCs w:val="20"/>
                <w:shd w:val="clear" w:color="auto" w:fill="FFFFFF"/>
              </w:rPr>
              <w:t>International students are part of the general population of young people who are known to be more vulnerable to contracting STI</w:t>
            </w:r>
          </w:p>
          <w:p w14:paraId="7CA3DB10" w14:textId="6F053954" w:rsidR="003376A9" w:rsidRPr="003113D4" w:rsidRDefault="0069741F" w:rsidP="003376A9">
            <w:pPr>
              <w:spacing w:after="120"/>
              <w:rPr>
                <w:rFonts w:cs="Arial"/>
                <w:color w:val="000000" w:themeColor="text1"/>
                <w:sz w:val="20"/>
                <w:szCs w:val="20"/>
                <w:shd w:val="clear" w:color="auto" w:fill="FFFFFF"/>
              </w:rPr>
            </w:pPr>
            <w:r w:rsidRPr="0069741F">
              <w:rPr>
                <w:rFonts w:cs="Arial"/>
                <w:color w:val="000000" w:themeColor="text1"/>
                <w:sz w:val="20"/>
                <w:szCs w:val="20"/>
                <w:shd w:val="clear" w:color="auto" w:fill="FFFFFF"/>
              </w:rPr>
              <w:t>International students may use their migration experience as</w:t>
            </w:r>
            <w:r w:rsidR="00DE63A8">
              <w:rPr>
                <w:rFonts w:cs="Arial"/>
                <w:color w:val="000000" w:themeColor="text1"/>
                <w:sz w:val="20"/>
                <w:szCs w:val="20"/>
                <w:shd w:val="clear" w:color="auto" w:fill="FFFFFF"/>
              </w:rPr>
              <w:t xml:space="preserve"> an</w:t>
            </w:r>
            <w:r w:rsidRPr="0069741F">
              <w:rPr>
                <w:rFonts w:cs="Arial"/>
                <w:color w:val="000000" w:themeColor="text1"/>
                <w:sz w:val="20"/>
                <w:szCs w:val="20"/>
                <w:shd w:val="clear" w:color="auto" w:fill="FFFFFF"/>
              </w:rPr>
              <w:t xml:space="preserve"> opportunity to explore sexual freedoms previously unavailable to them</w:t>
            </w:r>
            <w:r w:rsidR="008B43F1">
              <w:rPr>
                <w:rFonts w:ascii="ZWAdobeF" w:hAnsi="ZWAdobeF" w:cs="ZWAdobeF"/>
                <w:sz w:val="2"/>
                <w:szCs w:val="2"/>
                <w:shd w:val="clear" w:color="auto" w:fill="FFFFFF"/>
              </w:rPr>
              <w:t>80F</w:t>
            </w:r>
            <w:r w:rsidR="003376A9" w:rsidRPr="00442D9E">
              <w:rPr>
                <w:rStyle w:val="EndnoteReference"/>
                <w:rFonts w:cs="Arial"/>
                <w:color w:val="000000" w:themeColor="text1"/>
                <w:sz w:val="20"/>
                <w:szCs w:val="20"/>
                <w:shd w:val="clear" w:color="auto" w:fill="FFFFFF"/>
              </w:rPr>
              <w:endnoteReference w:id="80"/>
            </w:r>
          </w:p>
          <w:p w14:paraId="69FE1E07" w14:textId="587E9556" w:rsidR="003376A9" w:rsidRPr="00442D9E" w:rsidRDefault="00146075" w:rsidP="003376A9">
            <w:pPr>
              <w:spacing w:after="120"/>
              <w:rPr>
                <w:rFonts w:cs="Arial"/>
                <w:color w:val="000000" w:themeColor="text1"/>
                <w:sz w:val="20"/>
                <w:szCs w:val="20"/>
              </w:rPr>
            </w:pPr>
            <w:r>
              <w:rPr>
                <w:rFonts w:cs="Arial"/>
                <w:color w:val="000000" w:themeColor="text1"/>
                <w:sz w:val="20"/>
                <w:szCs w:val="20"/>
              </w:rPr>
              <w:t>Focus on p</w:t>
            </w:r>
            <w:r w:rsidRPr="00442D9E">
              <w:rPr>
                <w:rFonts w:cs="Arial"/>
                <w:color w:val="000000" w:themeColor="text1"/>
                <w:sz w:val="20"/>
                <w:szCs w:val="20"/>
              </w:rPr>
              <w:t xml:space="preserve">eople who can get pregnant </w:t>
            </w:r>
          </w:p>
        </w:tc>
      </w:tr>
      <w:tr w:rsidR="00865DBB" w:rsidRPr="005B76E5" w14:paraId="2693DFA9"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629B5287" w14:textId="1CF20502"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lastRenderedPageBreak/>
              <w:t>Other considerations</w:t>
            </w:r>
          </w:p>
        </w:tc>
        <w:tc>
          <w:tcPr>
            <w:tcW w:w="4177" w:type="pct"/>
            <w:tcBorders>
              <w:left w:val="nil"/>
            </w:tcBorders>
          </w:tcPr>
          <w:p w14:paraId="296F53AE" w14:textId="38122ED4"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Culturally appropriate approaches needed</w:t>
            </w:r>
          </w:p>
          <w:p w14:paraId="6097FBDD" w14:textId="367540A1"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Healthcare access for international students often mediated through privately purchased health insurance, rather than Medicare</w:t>
            </w:r>
            <w:r w:rsidR="008B43F1">
              <w:rPr>
                <w:rFonts w:ascii="ZWAdobeF" w:hAnsi="ZWAdobeF" w:cs="ZWAdobeF"/>
                <w:sz w:val="2"/>
                <w:szCs w:val="2"/>
              </w:rPr>
              <w:t>81F</w:t>
            </w:r>
            <w:r w:rsidRPr="00442D9E">
              <w:rPr>
                <w:rStyle w:val="EndnoteReference"/>
                <w:rFonts w:cs="Arial"/>
                <w:color w:val="000000" w:themeColor="text1"/>
                <w:sz w:val="20"/>
                <w:szCs w:val="20"/>
              </w:rPr>
              <w:endnoteReference w:id="81"/>
            </w:r>
          </w:p>
          <w:p w14:paraId="227C1728" w14:textId="7AC9221F"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Heterogenous group, and considerations needed for culturally and linguistically diverse gay, bisexual and other men who have sex with men, people who use drugs, young people, people who are ineligible for subsidised healthcare, refugees, humanitarian entrants, sex workers</w:t>
            </w:r>
            <w:r w:rsidR="00E26C9C">
              <w:rPr>
                <w:rFonts w:cs="Arial"/>
                <w:color w:val="000000" w:themeColor="text1"/>
                <w:sz w:val="20"/>
                <w:szCs w:val="20"/>
              </w:rPr>
              <w:t>,</w:t>
            </w:r>
            <w:r w:rsidRPr="00442D9E">
              <w:rPr>
                <w:rFonts w:cs="Arial"/>
                <w:color w:val="000000" w:themeColor="text1"/>
                <w:sz w:val="20"/>
                <w:szCs w:val="20"/>
              </w:rPr>
              <w:t xml:space="preserve"> and women</w:t>
            </w:r>
          </w:p>
          <w:p w14:paraId="11A40C48" w14:textId="06698066"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 xml:space="preserve">Improving STI and sexual health literacy, empowering people to make health-enabling decisions and boosting ability to navigate available sexual health services </w:t>
            </w:r>
            <w:r w:rsidR="00D94C67">
              <w:rPr>
                <w:rFonts w:cs="Arial"/>
                <w:color w:val="000000" w:themeColor="text1"/>
                <w:sz w:val="20"/>
                <w:szCs w:val="20"/>
              </w:rPr>
              <w:t xml:space="preserve">is </w:t>
            </w:r>
            <w:r w:rsidRPr="00442D9E">
              <w:rPr>
                <w:rFonts w:cs="Arial"/>
                <w:color w:val="000000" w:themeColor="text1"/>
                <w:sz w:val="20"/>
                <w:szCs w:val="20"/>
              </w:rPr>
              <w:t>particularly</w:t>
            </w:r>
            <w:r w:rsidRPr="00442D9E">
              <w:rPr>
                <w:rFonts w:cs="Arial"/>
                <w:color w:val="000000" w:themeColor="text1"/>
                <w:sz w:val="20"/>
                <w:szCs w:val="20"/>
                <w:vertAlign w:val="superscript"/>
              </w:rPr>
              <w:t xml:space="preserve"> </w:t>
            </w:r>
            <w:r w:rsidRPr="00442D9E">
              <w:rPr>
                <w:rFonts w:cs="Arial"/>
                <w:color w:val="000000" w:themeColor="text1"/>
                <w:sz w:val="20"/>
                <w:szCs w:val="20"/>
              </w:rPr>
              <w:t>important</w:t>
            </w:r>
            <w:r w:rsidR="008B43F1">
              <w:rPr>
                <w:rFonts w:ascii="ZWAdobeF" w:hAnsi="ZWAdobeF" w:cs="ZWAdobeF"/>
                <w:sz w:val="2"/>
                <w:szCs w:val="2"/>
              </w:rPr>
              <w:t>82F</w:t>
            </w:r>
            <w:r w:rsidRPr="00442D9E">
              <w:rPr>
                <w:rStyle w:val="EndnoteReference"/>
                <w:rFonts w:cs="Arial"/>
                <w:color w:val="000000" w:themeColor="text1"/>
                <w:sz w:val="20"/>
                <w:szCs w:val="20"/>
              </w:rPr>
              <w:endnoteReference w:id="82"/>
            </w:r>
            <w:r w:rsidRPr="00442D9E">
              <w:rPr>
                <w:rFonts w:cs="Arial"/>
                <w:color w:val="000000" w:themeColor="text1"/>
                <w:sz w:val="20"/>
                <w:szCs w:val="20"/>
                <w:vertAlign w:val="superscript"/>
              </w:rPr>
              <w:t>,</w:t>
            </w:r>
            <w:r w:rsidR="008B43F1">
              <w:rPr>
                <w:rFonts w:ascii="ZWAdobeF" w:hAnsi="ZWAdobeF" w:cs="ZWAdobeF"/>
                <w:sz w:val="2"/>
                <w:szCs w:val="2"/>
              </w:rPr>
              <w:t>83F</w:t>
            </w:r>
            <w:r w:rsidRPr="00442D9E">
              <w:rPr>
                <w:rStyle w:val="EndnoteReference"/>
                <w:rFonts w:cs="Arial"/>
                <w:color w:val="000000" w:themeColor="text1"/>
                <w:sz w:val="20"/>
                <w:szCs w:val="20"/>
              </w:rPr>
              <w:endnoteReference w:id="83"/>
            </w:r>
          </w:p>
          <w:p w14:paraId="7BB9EBB1" w14:textId="03A8A20D" w:rsidR="003376A9" w:rsidRPr="00442D9E" w:rsidRDefault="00D94C67" w:rsidP="003376A9">
            <w:pPr>
              <w:pStyle w:val="BodyText"/>
              <w:rPr>
                <w:rFonts w:cs="Arial"/>
                <w:color w:val="000000" w:themeColor="text1"/>
                <w:sz w:val="20"/>
                <w:szCs w:val="20"/>
              </w:rPr>
            </w:pPr>
            <w:r>
              <w:rPr>
                <w:rFonts w:cs="Arial"/>
                <w:color w:val="000000" w:themeColor="text1"/>
                <w:sz w:val="20"/>
                <w:szCs w:val="20"/>
              </w:rPr>
              <w:t>More n</w:t>
            </w:r>
            <w:r w:rsidR="003376A9" w:rsidRPr="00442D9E">
              <w:rPr>
                <w:rFonts w:cs="Arial"/>
                <w:color w:val="000000" w:themeColor="text1"/>
                <w:sz w:val="20"/>
                <w:szCs w:val="20"/>
              </w:rPr>
              <w:t>eed for robust and timely data that address</w:t>
            </w:r>
            <w:r w:rsidR="00DE394F">
              <w:rPr>
                <w:rFonts w:cs="Arial"/>
                <w:color w:val="000000" w:themeColor="text1"/>
                <w:sz w:val="20"/>
                <w:szCs w:val="20"/>
              </w:rPr>
              <w:t>es</w:t>
            </w:r>
            <w:r w:rsidR="003376A9" w:rsidRPr="00442D9E">
              <w:rPr>
                <w:rFonts w:cs="Arial"/>
                <w:color w:val="000000" w:themeColor="text1"/>
                <w:sz w:val="20"/>
                <w:szCs w:val="20"/>
              </w:rPr>
              <w:t xml:space="preserve"> gaps and disaggregation by language and ethnicity</w:t>
            </w:r>
          </w:p>
        </w:tc>
      </w:tr>
      <w:tr w:rsidR="00665E54" w:rsidRPr="005B76E5" w14:paraId="66FB7DF7" w14:textId="77777777" w:rsidTr="00A0728C">
        <w:trPr>
          <w:cantSplit/>
          <w:trHeight w:val="352"/>
        </w:trPr>
        <w:tc>
          <w:tcPr>
            <w:tcW w:w="5000" w:type="pct"/>
            <w:gridSpan w:val="2"/>
            <w:shd w:val="clear" w:color="auto" w:fill="FE9648"/>
          </w:tcPr>
          <w:p w14:paraId="27544583" w14:textId="37CC5902" w:rsidR="00665E54" w:rsidRPr="003B2996" w:rsidRDefault="00D100D9" w:rsidP="00EF14EE">
            <w:pPr>
              <w:pStyle w:val="BodyText"/>
              <w:spacing w:before="60" w:after="60"/>
              <w:rPr>
                <w:rFonts w:cs="Arial"/>
                <w:color w:val="000000" w:themeColor="text1"/>
                <w:sz w:val="20"/>
                <w:szCs w:val="20"/>
              </w:rPr>
            </w:pPr>
            <w:r w:rsidRPr="003B2996">
              <w:rPr>
                <w:rFonts w:cs="Arial"/>
                <w:b/>
                <w:color w:val="000000" w:themeColor="text1"/>
                <w:sz w:val="20"/>
                <w:szCs w:val="20"/>
              </w:rPr>
              <w:t xml:space="preserve">Priority population: </w:t>
            </w:r>
            <w:r w:rsidR="00665E54" w:rsidRPr="003B2996">
              <w:rPr>
                <w:rFonts w:cs="Arial"/>
                <w:b/>
                <w:color w:val="000000" w:themeColor="text1"/>
                <w:sz w:val="20"/>
                <w:szCs w:val="20"/>
              </w:rPr>
              <w:t>Sex workers</w:t>
            </w:r>
          </w:p>
        </w:tc>
      </w:tr>
      <w:tr w:rsidR="00865DBB" w:rsidRPr="005B76E5" w14:paraId="3B094DE6"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48EE729D" w14:textId="21CA89C2"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631ABA39" w14:textId="186F8214"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 xml:space="preserve">Fear and/or experience </w:t>
            </w:r>
            <w:r w:rsidR="00DE394F">
              <w:rPr>
                <w:rFonts w:cs="Arial"/>
                <w:color w:val="000000" w:themeColor="text1"/>
                <w:sz w:val="20"/>
                <w:szCs w:val="20"/>
              </w:rPr>
              <w:t xml:space="preserve">of </w:t>
            </w:r>
            <w:r w:rsidRPr="00442D9E">
              <w:rPr>
                <w:rFonts w:cs="Arial"/>
                <w:color w:val="000000" w:themeColor="text1"/>
                <w:sz w:val="20"/>
                <w:szCs w:val="20"/>
              </w:rPr>
              <w:t>stigma and discrimination. Sex workers experience barriers to accessing health services including high levels of stigma and discrimination</w:t>
            </w:r>
            <w:r w:rsidR="008B43F1">
              <w:rPr>
                <w:rFonts w:ascii="ZWAdobeF" w:hAnsi="ZWAdobeF" w:cs="ZWAdobeF"/>
                <w:sz w:val="2"/>
                <w:szCs w:val="2"/>
              </w:rPr>
              <w:t>84F</w:t>
            </w:r>
            <w:r w:rsidRPr="00442D9E">
              <w:rPr>
                <w:rStyle w:val="EndnoteReference"/>
                <w:rFonts w:cs="Arial"/>
                <w:color w:val="000000" w:themeColor="text1"/>
                <w:sz w:val="20"/>
                <w:szCs w:val="20"/>
              </w:rPr>
              <w:endnoteReference w:id="84"/>
            </w:r>
          </w:p>
          <w:p w14:paraId="73D2FF13" w14:textId="08DDF583" w:rsidR="003376A9" w:rsidRPr="003113D4" w:rsidRDefault="003376A9" w:rsidP="003376A9">
            <w:pPr>
              <w:pStyle w:val="Body"/>
              <w:spacing w:after="120"/>
              <w:rPr>
                <w:rFonts w:ascii="Arial" w:hAnsi="Arial" w:cs="Arial"/>
                <w:color w:val="000000" w:themeColor="text1"/>
                <w:sz w:val="20"/>
                <w:szCs w:val="20"/>
                <w:lang w:val="en-AU"/>
              </w:rPr>
            </w:pPr>
            <w:r w:rsidRPr="00442D9E">
              <w:rPr>
                <w:rStyle w:val="None"/>
                <w:rFonts w:ascii="Arial" w:hAnsi="Arial" w:cs="Arial"/>
                <w:color w:val="000000" w:themeColor="text1"/>
                <w:sz w:val="20"/>
                <w:szCs w:val="20"/>
              </w:rPr>
              <w:t>Sex work regulatory frameworks which promote stigma and discrimination</w:t>
            </w:r>
            <w:r w:rsidR="008B43F1">
              <w:rPr>
                <w:rStyle w:val="None"/>
                <w:rFonts w:ascii="ZWAdobeF" w:hAnsi="ZWAdobeF" w:cs="ZWAdobeF"/>
                <w:color w:val="auto"/>
                <w:sz w:val="2"/>
                <w:szCs w:val="2"/>
              </w:rPr>
              <w:t>85F</w:t>
            </w:r>
            <w:r w:rsidRPr="00442D9E">
              <w:rPr>
                <w:rStyle w:val="EndnoteReference"/>
                <w:rFonts w:ascii="Arial" w:hAnsi="Arial" w:cs="Arial"/>
                <w:color w:val="000000" w:themeColor="text1"/>
                <w:sz w:val="20"/>
                <w:szCs w:val="20"/>
                <w:lang w:val="en-AU"/>
              </w:rPr>
              <w:endnoteReference w:id="85"/>
            </w:r>
            <w:r w:rsidRPr="00442D9E">
              <w:rPr>
                <w:rFonts w:ascii="Arial" w:hAnsi="Arial" w:cs="Arial"/>
                <w:color w:val="000000" w:themeColor="text1"/>
                <w:sz w:val="20"/>
                <w:szCs w:val="20"/>
                <w:lang w:val="en-AU"/>
              </w:rPr>
              <w:t xml:space="preserve"> </w:t>
            </w:r>
          </w:p>
          <w:p w14:paraId="415AB08A" w14:textId="31F0CBDE" w:rsidR="003376A9" w:rsidRPr="003113D4" w:rsidRDefault="003376A9" w:rsidP="003376A9">
            <w:pPr>
              <w:pStyle w:val="Body"/>
              <w:spacing w:after="120"/>
              <w:rPr>
                <w:rFonts w:ascii="Arial" w:hAnsi="Arial" w:cs="Arial"/>
                <w:color w:val="000000" w:themeColor="text1"/>
                <w:sz w:val="20"/>
                <w:szCs w:val="20"/>
              </w:rPr>
            </w:pPr>
            <w:r w:rsidRPr="00442D9E">
              <w:rPr>
                <w:rStyle w:val="None"/>
                <w:rFonts w:ascii="Arial" w:hAnsi="Arial" w:cs="Arial"/>
                <w:color w:val="000000" w:themeColor="text1"/>
                <w:sz w:val="20"/>
                <w:szCs w:val="20"/>
              </w:rPr>
              <w:t>Lack of anti-discrimination protections for sex workers impacts confidence navigating healthcare</w:t>
            </w:r>
          </w:p>
          <w:p w14:paraId="04634A89" w14:textId="4401036C"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Cultural considerations, including</w:t>
            </w:r>
            <w:r w:rsidR="002546B0">
              <w:rPr>
                <w:rFonts w:cs="Arial"/>
                <w:color w:val="000000" w:themeColor="text1"/>
                <w:sz w:val="20"/>
                <w:szCs w:val="20"/>
              </w:rPr>
              <w:t xml:space="preserve"> perceived impacts on</w:t>
            </w:r>
            <w:r w:rsidRPr="00442D9E">
              <w:rPr>
                <w:rFonts w:cs="Arial"/>
                <w:color w:val="000000" w:themeColor="text1"/>
                <w:sz w:val="20"/>
                <w:szCs w:val="20"/>
              </w:rPr>
              <w:t xml:space="preserve"> migration status, sex workers from non-English-speaking backgrounds and sex workers who are Indigenous</w:t>
            </w:r>
          </w:p>
          <w:p w14:paraId="7EAFD848" w14:textId="46205790" w:rsidR="003376A9" w:rsidRPr="00647212" w:rsidRDefault="003376A9" w:rsidP="003376A9">
            <w:pPr>
              <w:pStyle w:val="BodyText"/>
              <w:rPr>
                <w:rFonts w:cs="Arial"/>
                <w:color w:val="000000" w:themeColor="text1"/>
                <w:sz w:val="20"/>
                <w:szCs w:val="20"/>
              </w:rPr>
            </w:pPr>
            <w:r w:rsidRPr="00442D9E">
              <w:rPr>
                <w:rStyle w:val="None"/>
                <w:rFonts w:cs="Arial"/>
                <w:color w:val="000000" w:themeColor="text1"/>
                <w:sz w:val="20"/>
                <w:szCs w:val="20"/>
              </w:rPr>
              <w:t>Over-burdened free and anonymous testing services</w:t>
            </w:r>
            <w:r w:rsidR="008B43F1">
              <w:rPr>
                <w:rStyle w:val="None"/>
                <w:rFonts w:ascii="ZWAdobeF" w:hAnsi="ZWAdobeF" w:cs="ZWAdobeF"/>
                <w:sz w:val="2"/>
                <w:szCs w:val="2"/>
              </w:rPr>
              <w:t>86F</w:t>
            </w:r>
            <w:r w:rsidRPr="00442D9E">
              <w:rPr>
                <w:rStyle w:val="EndnoteReference"/>
                <w:rFonts w:cs="Arial"/>
                <w:color w:val="000000" w:themeColor="text1"/>
                <w:sz w:val="20"/>
                <w:szCs w:val="20"/>
              </w:rPr>
              <w:endnoteReference w:id="86"/>
            </w:r>
          </w:p>
        </w:tc>
      </w:tr>
      <w:tr w:rsidR="00865DBB" w:rsidRPr="005B76E5" w14:paraId="5C570B23"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25361084" w14:textId="7213966A"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Key STI epidemiology</w:t>
            </w:r>
          </w:p>
        </w:tc>
        <w:tc>
          <w:tcPr>
            <w:tcW w:w="4177" w:type="pct"/>
            <w:tcBorders>
              <w:left w:val="nil"/>
            </w:tcBorders>
          </w:tcPr>
          <w:p w14:paraId="6637B88F" w14:textId="2E262ACC"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 xml:space="preserve">Rates of STI among sex workers in Australia </w:t>
            </w:r>
            <w:r w:rsidR="00DE394F">
              <w:rPr>
                <w:rFonts w:cs="Arial"/>
                <w:color w:val="000000" w:themeColor="text1"/>
                <w:sz w:val="20"/>
                <w:szCs w:val="20"/>
              </w:rPr>
              <w:t xml:space="preserve">are </w:t>
            </w:r>
            <w:r w:rsidRPr="00442D9E">
              <w:rPr>
                <w:rFonts w:cs="Arial"/>
                <w:color w:val="000000" w:themeColor="text1"/>
                <w:sz w:val="20"/>
                <w:szCs w:val="20"/>
              </w:rPr>
              <w:t>among the lowest in the world</w:t>
            </w:r>
          </w:p>
          <w:p w14:paraId="3CC87723" w14:textId="59A02D8B" w:rsidR="003376A9" w:rsidRPr="003113D4" w:rsidRDefault="003376A9" w:rsidP="003376A9">
            <w:pPr>
              <w:pStyle w:val="Body"/>
              <w:spacing w:after="120"/>
              <w:rPr>
                <w:rFonts w:ascii="Arial" w:hAnsi="Arial" w:cs="Arial"/>
                <w:color w:val="000000" w:themeColor="text1"/>
                <w:sz w:val="20"/>
                <w:szCs w:val="20"/>
              </w:rPr>
            </w:pPr>
            <w:r w:rsidRPr="00442D9E">
              <w:rPr>
                <w:rStyle w:val="None"/>
                <w:rFonts w:ascii="Arial" w:hAnsi="Arial" w:cs="Arial"/>
                <w:color w:val="000000" w:themeColor="text1"/>
                <w:sz w:val="20"/>
                <w:szCs w:val="20"/>
              </w:rPr>
              <w:t>Sex workers have high levels of voluntary testing</w:t>
            </w:r>
          </w:p>
          <w:p w14:paraId="226E584C" w14:textId="1FD56BCD"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Increase in the incidence of chlamydia and gonorrhoea among sex workers in recent years</w:t>
            </w:r>
          </w:p>
          <w:p w14:paraId="315C280F" w14:textId="61CC1942" w:rsidR="003376A9" w:rsidRPr="003113D4" w:rsidRDefault="003376A9" w:rsidP="003376A9">
            <w:pPr>
              <w:pStyle w:val="NormalWeb"/>
              <w:spacing w:before="0" w:beforeAutospacing="0" w:after="120" w:afterAutospacing="0"/>
              <w:rPr>
                <w:rFonts w:cs="Arial"/>
                <w:color w:val="000000" w:themeColor="text1"/>
                <w:sz w:val="20"/>
                <w:szCs w:val="20"/>
              </w:rPr>
            </w:pPr>
            <w:r w:rsidRPr="00442D9E">
              <w:rPr>
                <w:rFonts w:cs="Arial"/>
                <w:color w:val="000000" w:themeColor="text1"/>
                <w:sz w:val="20"/>
                <w:szCs w:val="20"/>
              </w:rPr>
              <w:t>Sex workers are experts in looking after their sexual health and are less vulnerable to undiagnosed STI than the general population</w:t>
            </w:r>
            <w:r w:rsidR="008B43F1">
              <w:rPr>
                <w:rFonts w:ascii="ZWAdobeF" w:hAnsi="ZWAdobeF" w:cs="ZWAdobeF"/>
                <w:sz w:val="2"/>
                <w:szCs w:val="2"/>
              </w:rPr>
              <w:t>87F</w:t>
            </w:r>
            <w:r w:rsidRPr="00442D9E">
              <w:rPr>
                <w:rStyle w:val="EndnoteReference"/>
                <w:rFonts w:cs="Arial"/>
                <w:color w:val="000000" w:themeColor="text1"/>
                <w:sz w:val="20"/>
                <w:szCs w:val="20"/>
              </w:rPr>
              <w:endnoteReference w:id="87"/>
            </w:r>
          </w:p>
          <w:p w14:paraId="4BE916B3" w14:textId="6DF1F308"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 xml:space="preserve">Sex workers, irrespective of gender, </w:t>
            </w:r>
            <w:r w:rsidR="002546B0">
              <w:rPr>
                <w:rFonts w:cs="Arial"/>
                <w:color w:val="000000" w:themeColor="text1"/>
                <w:sz w:val="20"/>
                <w:szCs w:val="20"/>
              </w:rPr>
              <w:t xml:space="preserve">perceived impacts on </w:t>
            </w:r>
            <w:r w:rsidRPr="00442D9E">
              <w:rPr>
                <w:rFonts w:cs="Arial"/>
                <w:color w:val="000000" w:themeColor="text1"/>
                <w:sz w:val="20"/>
                <w:szCs w:val="20"/>
              </w:rPr>
              <w:t>migration status and modality of sex work, reported consistent condom use in a recent study in Victoria</w:t>
            </w:r>
            <w:r w:rsidR="008B43F1">
              <w:rPr>
                <w:rFonts w:ascii="ZWAdobeF" w:hAnsi="ZWAdobeF" w:cs="ZWAdobeF"/>
                <w:sz w:val="2"/>
                <w:szCs w:val="2"/>
              </w:rPr>
              <w:t>88F</w:t>
            </w:r>
            <w:r w:rsidRPr="00442D9E">
              <w:rPr>
                <w:rStyle w:val="EndnoteReference"/>
                <w:rFonts w:cs="Arial"/>
                <w:color w:val="000000" w:themeColor="text1"/>
                <w:sz w:val="20"/>
                <w:szCs w:val="20"/>
              </w:rPr>
              <w:endnoteReference w:id="88"/>
            </w:r>
          </w:p>
          <w:p w14:paraId="26245ED6" w14:textId="4BFBFC37" w:rsidR="003376A9" w:rsidRPr="00442D9E" w:rsidRDefault="00A57A67" w:rsidP="003376A9">
            <w:pPr>
              <w:pStyle w:val="BodyText"/>
              <w:rPr>
                <w:rFonts w:cs="Arial"/>
                <w:color w:val="000000" w:themeColor="text1"/>
                <w:sz w:val="20"/>
                <w:szCs w:val="20"/>
              </w:rPr>
            </w:pPr>
            <w:r>
              <w:rPr>
                <w:rFonts w:cs="Arial"/>
                <w:color w:val="000000" w:themeColor="text1"/>
                <w:sz w:val="20"/>
                <w:szCs w:val="20"/>
              </w:rPr>
              <w:t>Focus on p</w:t>
            </w:r>
            <w:r w:rsidR="003376A9" w:rsidRPr="00442D9E">
              <w:rPr>
                <w:rFonts w:cs="Arial"/>
                <w:color w:val="000000" w:themeColor="text1"/>
                <w:sz w:val="20"/>
                <w:szCs w:val="20"/>
              </w:rPr>
              <w:t>eople who can get pregnant</w:t>
            </w:r>
          </w:p>
        </w:tc>
      </w:tr>
      <w:tr w:rsidR="00865DBB" w:rsidRPr="005B76E5" w14:paraId="40CC2DFE"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07C90A13" w14:textId="747E5086"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Other considerations</w:t>
            </w:r>
          </w:p>
        </w:tc>
        <w:tc>
          <w:tcPr>
            <w:tcW w:w="4177" w:type="pct"/>
            <w:tcBorders>
              <w:left w:val="nil"/>
            </w:tcBorders>
          </w:tcPr>
          <w:p w14:paraId="1C3DD566" w14:textId="63E66EBE"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Limited data for some sex workers</w:t>
            </w:r>
            <w:r w:rsidR="005247E9">
              <w:rPr>
                <w:rFonts w:cs="Arial"/>
                <w:color w:val="000000" w:themeColor="text1"/>
                <w:sz w:val="20"/>
                <w:szCs w:val="20"/>
              </w:rPr>
              <w:t>.</w:t>
            </w:r>
            <w:r w:rsidRPr="00442D9E">
              <w:rPr>
                <w:rFonts w:cs="Arial"/>
                <w:color w:val="000000" w:themeColor="text1"/>
                <w:sz w:val="20"/>
                <w:szCs w:val="20"/>
              </w:rPr>
              <w:t xml:space="preserve"> </w:t>
            </w:r>
            <w:r w:rsidR="005247E9">
              <w:rPr>
                <w:rFonts w:cs="Arial"/>
                <w:color w:val="000000" w:themeColor="text1"/>
                <w:sz w:val="20"/>
                <w:szCs w:val="20"/>
              </w:rPr>
              <w:t>T</w:t>
            </w:r>
            <w:r w:rsidRPr="00442D9E">
              <w:rPr>
                <w:rFonts w:cs="Arial"/>
                <w:color w:val="000000" w:themeColor="text1"/>
                <w:sz w:val="20"/>
                <w:szCs w:val="20"/>
              </w:rPr>
              <w:t>ailored approaches needed to recognise different working and cultural factors that may affect a sex worker’s access to STI, and sexual health services</w:t>
            </w:r>
          </w:p>
          <w:p w14:paraId="5CDDE558" w14:textId="75ED241E"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Sex workers can be from any gender</w:t>
            </w:r>
            <w:r w:rsidR="00326A9A">
              <w:rPr>
                <w:rFonts w:cs="Arial"/>
                <w:color w:val="000000" w:themeColor="text1"/>
                <w:sz w:val="20"/>
                <w:szCs w:val="20"/>
              </w:rPr>
              <w:t xml:space="preserve"> and</w:t>
            </w:r>
            <w:r w:rsidRPr="00442D9E">
              <w:rPr>
                <w:rFonts w:cs="Arial"/>
                <w:color w:val="000000" w:themeColor="text1"/>
                <w:sz w:val="20"/>
                <w:szCs w:val="20"/>
              </w:rPr>
              <w:t xml:space="preserve"> may have additional considerations </w:t>
            </w:r>
            <w:r w:rsidR="00A57A67">
              <w:rPr>
                <w:rFonts w:cs="Arial"/>
                <w:color w:val="000000" w:themeColor="text1"/>
                <w:sz w:val="20"/>
                <w:szCs w:val="20"/>
              </w:rPr>
              <w:t>in</w:t>
            </w:r>
            <w:r w:rsidRPr="00442D9E">
              <w:rPr>
                <w:rFonts w:cs="Arial"/>
                <w:color w:val="000000" w:themeColor="text1"/>
                <w:sz w:val="20"/>
                <w:szCs w:val="20"/>
              </w:rPr>
              <w:t xml:space="preserve"> accessing STI, and sexual health services</w:t>
            </w:r>
          </w:p>
          <w:p w14:paraId="6A112405" w14:textId="4C2AE2EC"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Strength and effectiveness of peer-based support is a reason for the low rates of STI among sex workers</w:t>
            </w:r>
          </w:p>
          <w:p w14:paraId="4694429C" w14:textId="3E50C302" w:rsidR="003376A9" w:rsidRPr="00442D9E" w:rsidRDefault="003376A9" w:rsidP="003376A9">
            <w:pPr>
              <w:pStyle w:val="BodyText"/>
              <w:rPr>
                <w:rFonts w:cs="Arial"/>
                <w:color w:val="000000" w:themeColor="text1"/>
                <w:sz w:val="20"/>
                <w:szCs w:val="20"/>
              </w:rPr>
            </w:pPr>
            <w:r w:rsidRPr="00442D9E">
              <w:rPr>
                <w:rStyle w:val="None"/>
                <w:rFonts w:cs="Arial"/>
                <w:color w:val="000000" w:themeColor="text1"/>
                <w:sz w:val="20"/>
                <w:szCs w:val="20"/>
                <w:lang w:val="en-US"/>
              </w:rPr>
              <w:t>Voluntary testing is a key enabler for sex workers</w:t>
            </w:r>
            <w:r w:rsidR="00B62353">
              <w:rPr>
                <w:rStyle w:val="None"/>
                <w:rFonts w:cs="Arial"/>
                <w:color w:val="000000" w:themeColor="text1"/>
                <w:sz w:val="20"/>
                <w:szCs w:val="20"/>
                <w:lang w:val="en-US"/>
              </w:rPr>
              <w:t>,</w:t>
            </w:r>
            <w:r w:rsidRPr="00442D9E">
              <w:rPr>
                <w:rStyle w:val="None"/>
                <w:rFonts w:cs="Arial"/>
                <w:color w:val="000000" w:themeColor="text1"/>
                <w:sz w:val="20"/>
                <w:szCs w:val="20"/>
                <w:lang w:val="en-US"/>
              </w:rPr>
              <w:t xml:space="preserve"> laws that mandate testing still </w:t>
            </w:r>
            <w:r w:rsidR="00F24940" w:rsidRPr="00442D9E">
              <w:rPr>
                <w:rStyle w:val="None"/>
                <w:rFonts w:cs="Arial"/>
                <w:color w:val="000000" w:themeColor="text1"/>
                <w:sz w:val="20"/>
                <w:szCs w:val="20"/>
                <w:lang w:val="en-US"/>
              </w:rPr>
              <w:t>exist</w:t>
            </w:r>
            <w:r w:rsidRPr="00442D9E">
              <w:rPr>
                <w:rStyle w:val="None"/>
                <w:rFonts w:cs="Arial"/>
                <w:color w:val="000000" w:themeColor="text1"/>
                <w:sz w:val="20"/>
                <w:szCs w:val="20"/>
                <w:lang w:val="en-US"/>
              </w:rPr>
              <w:t xml:space="preserve"> in several jurisdictions. Some sex workers require the ability to test using a pseudonym</w:t>
            </w:r>
          </w:p>
        </w:tc>
      </w:tr>
      <w:tr w:rsidR="00665E54" w:rsidRPr="005B76E5" w14:paraId="06CEDD5B" w14:textId="77777777" w:rsidTr="00A0728C">
        <w:trPr>
          <w:cantSplit/>
          <w:trHeight w:val="352"/>
        </w:trPr>
        <w:tc>
          <w:tcPr>
            <w:tcW w:w="5000" w:type="pct"/>
            <w:gridSpan w:val="2"/>
            <w:shd w:val="clear" w:color="auto" w:fill="FE9648"/>
          </w:tcPr>
          <w:p w14:paraId="0968714A" w14:textId="029755E6" w:rsidR="00665E54" w:rsidRPr="003B2996" w:rsidRDefault="00D100D9" w:rsidP="00EF14EE">
            <w:pPr>
              <w:pStyle w:val="BodyText"/>
              <w:spacing w:before="60" w:after="60"/>
              <w:rPr>
                <w:rFonts w:cs="Arial"/>
                <w:color w:val="000000" w:themeColor="text1"/>
                <w:sz w:val="20"/>
                <w:szCs w:val="20"/>
              </w:rPr>
            </w:pPr>
            <w:r w:rsidRPr="003B2996">
              <w:rPr>
                <w:rFonts w:cs="Arial"/>
                <w:b/>
                <w:color w:val="000000" w:themeColor="text1"/>
                <w:sz w:val="20"/>
                <w:szCs w:val="20"/>
              </w:rPr>
              <w:t xml:space="preserve">Priority population: </w:t>
            </w:r>
            <w:r w:rsidR="00665E54" w:rsidRPr="003B2996">
              <w:rPr>
                <w:rFonts w:cs="Arial"/>
                <w:b/>
                <w:color w:val="000000" w:themeColor="text1"/>
                <w:sz w:val="20"/>
                <w:szCs w:val="20"/>
              </w:rPr>
              <w:t>Travellers and migrant workers</w:t>
            </w:r>
          </w:p>
        </w:tc>
      </w:tr>
      <w:tr w:rsidR="00865DBB" w:rsidRPr="005B76E5" w14:paraId="6D7DCDB0"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6924609E" w14:textId="15AB5CFE"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5B14085C" w14:textId="6A8C10C3"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People often behave differently when they travel</w:t>
            </w:r>
            <w:r w:rsidR="00DD2BF2">
              <w:rPr>
                <w:rFonts w:cs="Arial"/>
                <w:color w:val="000000" w:themeColor="text1"/>
                <w:sz w:val="20"/>
                <w:szCs w:val="20"/>
              </w:rPr>
              <w:t>,</w:t>
            </w:r>
            <w:r w:rsidRPr="00442D9E">
              <w:rPr>
                <w:rFonts w:cs="Arial"/>
                <w:color w:val="000000" w:themeColor="text1"/>
                <w:sz w:val="20"/>
                <w:szCs w:val="20"/>
              </w:rPr>
              <w:t xml:space="preserve"> includ</w:t>
            </w:r>
            <w:r w:rsidR="00DD2BF2">
              <w:rPr>
                <w:rFonts w:cs="Arial"/>
                <w:color w:val="000000" w:themeColor="text1"/>
                <w:sz w:val="20"/>
                <w:szCs w:val="20"/>
              </w:rPr>
              <w:t>ing</w:t>
            </w:r>
            <w:r w:rsidRPr="00442D9E">
              <w:rPr>
                <w:rFonts w:cs="Arial"/>
                <w:color w:val="000000" w:themeColor="text1"/>
                <w:sz w:val="20"/>
                <w:szCs w:val="20"/>
              </w:rPr>
              <w:t xml:space="preserve"> engaging in different sexual practices</w:t>
            </w:r>
          </w:p>
          <w:p w14:paraId="2EC601ED" w14:textId="27B8BF7A"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Long geographical distance to sexual services in regional, rural and remote areas</w:t>
            </w:r>
          </w:p>
          <w:p w14:paraId="4BDF133F" w14:textId="5CA63C36"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Timing of services may not accommodate shift-work patterns</w:t>
            </w:r>
          </w:p>
          <w:p w14:paraId="306D89A0" w14:textId="227D3B8F"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Access to services limited by mobility and without proof of residence</w:t>
            </w:r>
          </w:p>
          <w:p w14:paraId="339B7254" w14:textId="4A8C3CF5"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May be additional barriers for women workers and their sexual health in relation to gender norms in their industry and accessing sexual health services</w:t>
            </w:r>
            <w:r w:rsidR="008B43F1">
              <w:rPr>
                <w:rFonts w:ascii="ZWAdobeF" w:hAnsi="ZWAdobeF" w:cs="ZWAdobeF"/>
                <w:sz w:val="2"/>
                <w:szCs w:val="2"/>
              </w:rPr>
              <w:t>89F</w:t>
            </w:r>
            <w:r w:rsidRPr="00442D9E">
              <w:rPr>
                <w:rStyle w:val="EndnoteReference"/>
                <w:rFonts w:cs="Arial"/>
                <w:color w:val="000000" w:themeColor="text1"/>
                <w:sz w:val="20"/>
                <w:szCs w:val="20"/>
              </w:rPr>
              <w:endnoteReference w:id="89"/>
            </w:r>
            <w:r w:rsidRPr="00442D9E">
              <w:rPr>
                <w:rFonts w:cs="Arial"/>
                <w:color w:val="000000" w:themeColor="text1"/>
                <w:sz w:val="20"/>
                <w:szCs w:val="20"/>
                <w:vertAlign w:val="superscript"/>
              </w:rPr>
              <w:t>,</w:t>
            </w:r>
            <w:r w:rsidR="008B43F1">
              <w:rPr>
                <w:rFonts w:ascii="ZWAdobeF" w:hAnsi="ZWAdobeF" w:cs="ZWAdobeF"/>
                <w:sz w:val="2"/>
                <w:szCs w:val="2"/>
              </w:rPr>
              <w:t>90F</w:t>
            </w:r>
            <w:r w:rsidRPr="00442D9E">
              <w:rPr>
                <w:rStyle w:val="EndnoteReference"/>
                <w:rFonts w:cs="Arial"/>
                <w:color w:val="000000" w:themeColor="text1"/>
                <w:sz w:val="20"/>
                <w:szCs w:val="20"/>
              </w:rPr>
              <w:endnoteReference w:id="90"/>
            </w:r>
          </w:p>
        </w:tc>
      </w:tr>
      <w:tr w:rsidR="00865DBB" w:rsidRPr="005B76E5" w14:paraId="63DE1443"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5BDC84FB" w14:textId="6A1B2BED"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lastRenderedPageBreak/>
              <w:t>Key STI epidemiology</w:t>
            </w:r>
          </w:p>
        </w:tc>
        <w:tc>
          <w:tcPr>
            <w:tcW w:w="4177" w:type="pct"/>
            <w:tcBorders>
              <w:left w:val="nil"/>
            </w:tcBorders>
          </w:tcPr>
          <w:p w14:paraId="3D934D08" w14:textId="6A9F9EEB"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Limited</w:t>
            </w:r>
            <w:r w:rsidR="00CC1547">
              <w:rPr>
                <w:rFonts w:cs="Arial"/>
                <w:color w:val="000000" w:themeColor="text1"/>
                <w:sz w:val="20"/>
                <w:szCs w:val="20"/>
              </w:rPr>
              <w:t xml:space="preserve"> </w:t>
            </w:r>
            <w:r w:rsidR="00E52950">
              <w:rPr>
                <w:rFonts w:cs="Arial"/>
                <w:color w:val="000000" w:themeColor="text1"/>
                <w:sz w:val="20"/>
                <w:szCs w:val="20"/>
              </w:rPr>
              <w:t xml:space="preserve">data </w:t>
            </w:r>
            <w:r w:rsidR="00421401">
              <w:rPr>
                <w:rFonts w:cs="Arial"/>
                <w:color w:val="000000" w:themeColor="text1"/>
                <w:sz w:val="20"/>
                <w:szCs w:val="20"/>
              </w:rPr>
              <w:t xml:space="preserve">on </w:t>
            </w:r>
            <w:r w:rsidR="00E52950">
              <w:rPr>
                <w:rFonts w:cs="Arial"/>
                <w:color w:val="000000" w:themeColor="text1"/>
                <w:sz w:val="20"/>
                <w:szCs w:val="20"/>
              </w:rPr>
              <w:t xml:space="preserve">associations between </w:t>
            </w:r>
            <w:r w:rsidRPr="00442D9E">
              <w:rPr>
                <w:rFonts w:cs="Arial"/>
                <w:color w:val="000000" w:themeColor="text1"/>
                <w:sz w:val="20"/>
                <w:szCs w:val="20"/>
              </w:rPr>
              <w:t>STI, migration and work status</w:t>
            </w:r>
          </w:p>
          <w:p w14:paraId="35E66C86" w14:textId="484CEAA9" w:rsidR="003376A9" w:rsidRPr="00442D9E" w:rsidRDefault="00A81832" w:rsidP="003376A9">
            <w:pPr>
              <w:spacing w:after="120"/>
              <w:rPr>
                <w:rFonts w:cs="Arial"/>
                <w:color w:val="000000" w:themeColor="text1"/>
                <w:sz w:val="20"/>
                <w:szCs w:val="20"/>
              </w:rPr>
            </w:pPr>
            <w:r>
              <w:rPr>
                <w:rFonts w:cs="Arial"/>
                <w:color w:val="000000" w:themeColor="text1"/>
                <w:sz w:val="20"/>
                <w:szCs w:val="20"/>
              </w:rPr>
              <w:t>Focus on people</w:t>
            </w:r>
            <w:r w:rsidR="003376A9" w:rsidRPr="00442D9E">
              <w:rPr>
                <w:rFonts w:cs="Arial"/>
                <w:color w:val="000000" w:themeColor="text1"/>
                <w:sz w:val="20"/>
                <w:szCs w:val="20"/>
              </w:rPr>
              <w:t xml:space="preserve"> who can get pregnant </w:t>
            </w:r>
          </w:p>
        </w:tc>
      </w:tr>
      <w:tr w:rsidR="00865DBB" w:rsidRPr="005B76E5" w14:paraId="26055EEC"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4ED1EBFA" w14:textId="2F711105"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Other considerations</w:t>
            </w:r>
          </w:p>
        </w:tc>
        <w:tc>
          <w:tcPr>
            <w:tcW w:w="4177" w:type="pct"/>
            <w:tcBorders>
              <w:left w:val="nil"/>
            </w:tcBorders>
          </w:tcPr>
          <w:p w14:paraId="24628BA7" w14:textId="2B6022DE"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Fly-in, fly-out and seasonal workers and the communities they have contact with are important sub-populations for consideration in the response to STI</w:t>
            </w:r>
            <w:r w:rsidR="008B43F1">
              <w:rPr>
                <w:rFonts w:ascii="ZWAdobeF" w:hAnsi="ZWAdobeF" w:cs="ZWAdobeF"/>
                <w:sz w:val="2"/>
                <w:szCs w:val="2"/>
              </w:rPr>
              <w:t>91F</w:t>
            </w:r>
            <w:r w:rsidRPr="00442D9E">
              <w:rPr>
                <w:rStyle w:val="EndnoteReference"/>
                <w:rFonts w:cs="Arial"/>
                <w:color w:val="000000" w:themeColor="text1"/>
                <w:sz w:val="20"/>
                <w:szCs w:val="20"/>
              </w:rPr>
              <w:endnoteReference w:id="91"/>
            </w:r>
            <w:r w:rsidRPr="00442D9E">
              <w:rPr>
                <w:rFonts w:cs="Arial"/>
                <w:color w:val="000000" w:themeColor="text1"/>
                <w:sz w:val="20"/>
                <w:szCs w:val="20"/>
              </w:rPr>
              <w:fldChar w:fldCharType="begin"/>
            </w:r>
            <w:r w:rsidRPr="00442D9E">
              <w:rPr>
                <w:rFonts w:cs="Arial"/>
                <w:color w:val="000000" w:themeColor="text1"/>
                <w:sz w:val="20"/>
                <w:szCs w:val="20"/>
              </w:rPr>
              <w:instrText xml:space="preserve"> ADDIN ZOTERO_ITEM CSL_CITATION {"citationID":"d9BAw4Z6","properties":{"formattedCitation":"\\super 32,33\\nosupersub{}","plainCitation":"32,33","noteIndex":0},"citationItems":[{"id":1343,"uris":["http://zotero.org/groups/4457130/items/47PG6WGM"],"itemData":{"id":1343,"type":"article-journal","container-title":"Journal of Travel Medicine","ISSN":"1708-8305","issue":"8","journalAbbreviation":"Journal of Travel Medicine","note":"publisher: Oxford University Press","page":"taz090","title":"Travel-associated STI amongst HIV and non-HIV infected travellers","volume":"26","author":[{"family":"Nouchi","given":"Agathe"},{"family":"Caby","given":"Fabienne"},{"family":"Palich","given":"Romain"},{"family":"Monsel","given":"Gentiane"},{"family":"Caumes","given":"and Eric"}],"issued":{"date-parts":[["2019"]]}},"label":"page"},{"id":1342,"uris":["http://zotero.org/groups/4457130/items/XBMQIAJA"],"itemData":{"id":1342,"type":"article-journal","container-title":"Eurosurveillance","ISSN":"1560-7917","issue":"44","journalAbbreviation":"Eurosurveillance","note":"publisher: European Centre for Disease Prevention and Control","page":"1900219","title":"International travel as risk factor for Chlamydia trachomatis infections among young heterosexuals attending a sexual health clinic in Melbourne, Australia, 2007 to 2017","volume":"24","author":[{"family":"Aung","given":"Ei T"},{"family":"Chow","given":"Eric PF"},{"family":"Fairley","given":"Christopher K"},{"family":"Hocking","given":"Jane S"},{"family":"Bradshaw","given":"Catriona S"},{"family":"Williamson","given":"Deborah A"},{"family":"Chen","given":"Marcus Y"}],"issued":{"date-parts":[["2019"]]}},"label":"page"}],"schema":"https://github.com/citation-style-language/schema/raw/master/csl-citation.json"} </w:instrText>
            </w:r>
            <w:r w:rsidRPr="00442D9E">
              <w:rPr>
                <w:rFonts w:cs="Arial"/>
                <w:color w:val="000000" w:themeColor="text1"/>
                <w:sz w:val="20"/>
                <w:szCs w:val="20"/>
              </w:rPr>
              <w:fldChar w:fldCharType="separate"/>
            </w:r>
            <w:r w:rsidRPr="00442D9E">
              <w:rPr>
                <w:rFonts w:cs="Arial"/>
                <w:color w:val="000000" w:themeColor="text1"/>
                <w:sz w:val="20"/>
                <w:szCs w:val="20"/>
                <w:vertAlign w:val="superscript"/>
              </w:rPr>
              <w:t>,</w:t>
            </w:r>
            <w:r w:rsidR="008B43F1">
              <w:rPr>
                <w:rFonts w:ascii="ZWAdobeF" w:hAnsi="ZWAdobeF" w:cs="ZWAdobeF"/>
                <w:sz w:val="2"/>
                <w:szCs w:val="2"/>
              </w:rPr>
              <w:t>92F</w:t>
            </w:r>
            <w:r w:rsidRPr="00442D9E">
              <w:rPr>
                <w:rStyle w:val="EndnoteReference"/>
                <w:rFonts w:cs="Arial"/>
                <w:color w:val="000000" w:themeColor="text1"/>
                <w:sz w:val="20"/>
                <w:szCs w:val="20"/>
              </w:rPr>
              <w:endnoteReference w:id="92"/>
            </w:r>
            <w:r w:rsidRPr="00442D9E">
              <w:rPr>
                <w:rFonts w:cs="Arial"/>
                <w:color w:val="000000" w:themeColor="text1"/>
                <w:sz w:val="20"/>
                <w:szCs w:val="20"/>
              </w:rPr>
              <w:fldChar w:fldCharType="end"/>
            </w:r>
          </w:p>
          <w:p w14:paraId="1DDBD301" w14:textId="57397533"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Movement of people to and from countries with high prevalence of STI, among them extensive drug-resistant infections that are difficult to treat</w:t>
            </w:r>
          </w:p>
          <w:p w14:paraId="03B4E405" w14:textId="0E396CB6"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Tailored approaches and services for travellers and mobile workers needed, including the delivery of targeted STI, sexual health promotion and education about STI both prior to travel and upon return</w:t>
            </w:r>
          </w:p>
          <w:p w14:paraId="6656ABB0" w14:textId="08A09124"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Limited</w:t>
            </w:r>
            <w:r w:rsidRPr="00442D9E" w:rsidDel="00D81BE4">
              <w:rPr>
                <w:rFonts w:cs="Arial"/>
                <w:color w:val="000000" w:themeColor="text1"/>
                <w:sz w:val="20"/>
                <w:szCs w:val="20"/>
              </w:rPr>
              <w:t xml:space="preserve"> </w:t>
            </w:r>
            <w:r w:rsidRPr="00442D9E">
              <w:rPr>
                <w:rFonts w:cs="Arial"/>
                <w:color w:val="000000" w:themeColor="text1"/>
                <w:sz w:val="20"/>
                <w:szCs w:val="20"/>
              </w:rPr>
              <w:t xml:space="preserve">disaggregated </w:t>
            </w:r>
            <w:r w:rsidR="00E52950">
              <w:rPr>
                <w:rFonts w:cs="Arial"/>
                <w:color w:val="000000" w:themeColor="text1"/>
                <w:sz w:val="20"/>
                <w:szCs w:val="20"/>
              </w:rPr>
              <w:t>data</w:t>
            </w:r>
            <w:r w:rsidR="00E52950" w:rsidRPr="00442D9E">
              <w:rPr>
                <w:rFonts w:cs="Arial"/>
                <w:color w:val="000000" w:themeColor="text1"/>
                <w:sz w:val="20"/>
                <w:szCs w:val="20"/>
              </w:rPr>
              <w:t xml:space="preserve"> </w:t>
            </w:r>
            <w:r w:rsidRPr="00442D9E">
              <w:rPr>
                <w:rFonts w:cs="Arial"/>
                <w:color w:val="000000" w:themeColor="text1"/>
                <w:sz w:val="20"/>
                <w:szCs w:val="20"/>
              </w:rPr>
              <w:t xml:space="preserve">about </w:t>
            </w:r>
            <w:r w:rsidR="00C3068B">
              <w:rPr>
                <w:rFonts w:cs="Arial"/>
                <w:color w:val="000000" w:themeColor="text1"/>
                <w:sz w:val="20"/>
                <w:szCs w:val="20"/>
              </w:rPr>
              <w:t xml:space="preserve">associations between </w:t>
            </w:r>
            <w:r w:rsidRPr="00442D9E">
              <w:rPr>
                <w:rFonts w:cs="Arial"/>
                <w:color w:val="000000" w:themeColor="text1"/>
                <w:sz w:val="20"/>
                <w:szCs w:val="20"/>
              </w:rPr>
              <w:t>STI, migration and work status</w:t>
            </w:r>
          </w:p>
        </w:tc>
      </w:tr>
      <w:tr w:rsidR="00665E54" w:rsidRPr="005B76E5" w14:paraId="0C84B791" w14:textId="77777777" w:rsidTr="00A0728C">
        <w:trPr>
          <w:cantSplit/>
          <w:trHeight w:val="352"/>
        </w:trPr>
        <w:tc>
          <w:tcPr>
            <w:tcW w:w="5000" w:type="pct"/>
            <w:gridSpan w:val="2"/>
            <w:shd w:val="clear" w:color="auto" w:fill="FE9648"/>
          </w:tcPr>
          <w:p w14:paraId="154ED66C" w14:textId="40EFA8F7" w:rsidR="00665E54" w:rsidRPr="003B2996" w:rsidRDefault="00D100D9" w:rsidP="00EF14EE">
            <w:pPr>
              <w:pStyle w:val="BodyText"/>
              <w:spacing w:before="60" w:after="60"/>
              <w:rPr>
                <w:rFonts w:cs="Arial"/>
                <w:color w:val="000000" w:themeColor="text1"/>
                <w:sz w:val="20"/>
                <w:szCs w:val="20"/>
              </w:rPr>
            </w:pPr>
            <w:r w:rsidRPr="003B2996">
              <w:rPr>
                <w:rFonts w:cs="Arial"/>
                <w:b/>
                <w:color w:val="000000" w:themeColor="text1"/>
                <w:sz w:val="20"/>
                <w:szCs w:val="20"/>
              </w:rPr>
              <w:t xml:space="preserve">Priority population: </w:t>
            </w:r>
            <w:r w:rsidR="00665E54" w:rsidRPr="003B2996">
              <w:rPr>
                <w:rFonts w:cs="Arial"/>
                <w:b/>
                <w:color w:val="000000" w:themeColor="text1"/>
                <w:sz w:val="20"/>
                <w:szCs w:val="20"/>
              </w:rPr>
              <w:t>People who are trans and</w:t>
            </w:r>
            <w:r w:rsidR="00E47D9B">
              <w:rPr>
                <w:rFonts w:cs="Arial"/>
                <w:b/>
                <w:color w:val="000000" w:themeColor="text1"/>
                <w:sz w:val="20"/>
                <w:szCs w:val="20"/>
              </w:rPr>
              <w:t>/or</w:t>
            </w:r>
            <w:r w:rsidR="00665E54" w:rsidRPr="003B2996">
              <w:rPr>
                <w:rFonts w:cs="Arial"/>
                <w:b/>
                <w:color w:val="000000" w:themeColor="text1"/>
                <w:sz w:val="20"/>
                <w:szCs w:val="20"/>
              </w:rPr>
              <w:t xml:space="preserve"> gender diverse</w:t>
            </w:r>
          </w:p>
        </w:tc>
      </w:tr>
      <w:tr w:rsidR="00865DBB" w:rsidRPr="005B76E5" w14:paraId="0DB6FBD6"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1E401D00" w14:textId="2DC5196E"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0B6EDAA1" w14:textId="22266828"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Trans-affirming care is not the norm</w:t>
            </w:r>
            <w:r w:rsidR="008B43F1">
              <w:rPr>
                <w:rFonts w:ascii="ZWAdobeF" w:hAnsi="ZWAdobeF" w:cs="ZWAdobeF"/>
                <w:sz w:val="2"/>
                <w:szCs w:val="2"/>
              </w:rPr>
              <w:t>93F</w:t>
            </w:r>
            <w:r w:rsidRPr="00442D9E">
              <w:rPr>
                <w:rStyle w:val="EndnoteReference"/>
                <w:rFonts w:cs="Arial"/>
                <w:color w:val="000000" w:themeColor="text1"/>
                <w:sz w:val="20"/>
                <w:szCs w:val="20"/>
              </w:rPr>
              <w:endnoteReference w:id="93"/>
            </w:r>
            <w:r w:rsidRPr="00442D9E">
              <w:rPr>
                <w:rFonts w:cs="Arial"/>
                <w:color w:val="000000" w:themeColor="text1"/>
                <w:sz w:val="20"/>
                <w:szCs w:val="20"/>
              </w:rPr>
              <w:t xml:space="preserve"> – particularly regarding STI, sexual and reproductive health, where screening of intimate parts of the body can be complex for trans people</w:t>
            </w:r>
          </w:p>
          <w:p w14:paraId="1CA554E8" w14:textId="36768CC7"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Gender diversity and inclusive pedagogies not adequately included in relationship and sexuality education in schools</w:t>
            </w:r>
            <w:r w:rsidR="008B43F1">
              <w:rPr>
                <w:rFonts w:ascii="ZWAdobeF" w:hAnsi="ZWAdobeF" w:cs="ZWAdobeF"/>
                <w:sz w:val="2"/>
                <w:szCs w:val="2"/>
              </w:rPr>
              <w:t>94F</w:t>
            </w:r>
            <w:r w:rsidRPr="00442D9E">
              <w:rPr>
                <w:rStyle w:val="EndnoteReference"/>
                <w:rFonts w:cs="Arial"/>
                <w:color w:val="000000" w:themeColor="text1"/>
                <w:sz w:val="20"/>
                <w:szCs w:val="20"/>
              </w:rPr>
              <w:endnoteReference w:id="94"/>
            </w:r>
          </w:p>
        </w:tc>
      </w:tr>
      <w:tr w:rsidR="00865DBB" w:rsidRPr="005B76E5" w14:paraId="18E7C284"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2BA20698" w14:textId="7D6D62DB"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Key STI epidemiology</w:t>
            </w:r>
          </w:p>
        </w:tc>
        <w:tc>
          <w:tcPr>
            <w:tcW w:w="4177" w:type="pct"/>
            <w:tcBorders>
              <w:left w:val="nil"/>
            </w:tcBorders>
          </w:tcPr>
          <w:p w14:paraId="1E04EDD5" w14:textId="7D038000"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The epidemiology of STI among transgender people attending Australian sexual health clinics differs from that of cisgender people</w:t>
            </w:r>
            <w:r w:rsidR="008B43F1">
              <w:rPr>
                <w:rFonts w:ascii="ZWAdobeF" w:hAnsi="ZWAdobeF" w:cs="ZWAdobeF"/>
                <w:sz w:val="2"/>
                <w:szCs w:val="2"/>
              </w:rPr>
              <w:t>95F</w:t>
            </w:r>
            <w:r w:rsidRPr="00442D9E">
              <w:rPr>
                <w:rStyle w:val="EndnoteReference"/>
                <w:rFonts w:cs="Arial"/>
                <w:color w:val="000000" w:themeColor="text1"/>
                <w:sz w:val="20"/>
                <w:szCs w:val="20"/>
              </w:rPr>
              <w:endnoteReference w:id="95"/>
            </w:r>
          </w:p>
          <w:p w14:paraId="01E3BD74" w14:textId="7DA148B7"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Data measures</w:t>
            </w:r>
            <w:r w:rsidR="00424CC0">
              <w:rPr>
                <w:rFonts w:cs="Arial"/>
                <w:color w:val="000000" w:themeColor="text1"/>
                <w:sz w:val="20"/>
                <w:szCs w:val="20"/>
              </w:rPr>
              <w:t xml:space="preserve"> are</w:t>
            </w:r>
            <w:r w:rsidRPr="00442D9E">
              <w:rPr>
                <w:rFonts w:cs="Arial"/>
                <w:color w:val="000000" w:themeColor="text1"/>
                <w:sz w:val="20"/>
                <w:szCs w:val="20"/>
              </w:rPr>
              <w:t xml:space="preserve"> not inclusive; therefore, the sexual health needs of trans and gender-diverse people are not clear</w:t>
            </w:r>
          </w:p>
        </w:tc>
      </w:tr>
      <w:tr w:rsidR="00865DBB" w:rsidRPr="005B76E5" w14:paraId="72913AA9"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12CC2788" w14:textId="687659DA"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Other considerations</w:t>
            </w:r>
          </w:p>
        </w:tc>
        <w:tc>
          <w:tcPr>
            <w:tcW w:w="4177" w:type="pct"/>
            <w:tcBorders>
              <w:left w:val="nil"/>
            </w:tcBorders>
          </w:tcPr>
          <w:p w14:paraId="60EEAA7F" w14:textId="077A719E"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Lack of understanding about what surgical interventions might mean for STI</w:t>
            </w:r>
          </w:p>
          <w:p w14:paraId="5A7C2CAA" w14:textId="0A527019"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rPr>
              <w:t>Gender details need to be captured by health data systems – spaces and measures needed to recognise that not everyone with a particular body part is either male or female</w:t>
            </w:r>
            <w:r w:rsidR="008B43F1">
              <w:rPr>
                <w:rFonts w:ascii="ZWAdobeF" w:hAnsi="ZWAdobeF" w:cs="ZWAdobeF"/>
                <w:sz w:val="2"/>
                <w:szCs w:val="2"/>
              </w:rPr>
              <w:t>96F</w:t>
            </w:r>
            <w:r w:rsidRPr="00442D9E">
              <w:rPr>
                <w:rStyle w:val="EndnoteReference"/>
                <w:rFonts w:cs="Arial"/>
                <w:color w:val="000000" w:themeColor="text1"/>
                <w:sz w:val="20"/>
                <w:szCs w:val="20"/>
              </w:rPr>
              <w:endnoteReference w:id="96"/>
            </w:r>
          </w:p>
          <w:p w14:paraId="3D153B50" w14:textId="17A3185F"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shd w:val="clear" w:color="auto" w:fill="FFFFFF"/>
              </w:rPr>
              <w:t>Systems of healthcare and research must be adapted to include nonbinary people</w:t>
            </w:r>
            <w:r w:rsidR="008B43F1">
              <w:rPr>
                <w:rFonts w:ascii="ZWAdobeF" w:hAnsi="ZWAdobeF" w:cs="ZWAdobeF"/>
                <w:sz w:val="2"/>
                <w:szCs w:val="2"/>
                <w:shd w:val="clear" w:color="auto" w:fill="FFFFFF"/>
              </w:rPr>
              <w:t>97F</w:t>
            </w:r>
            <w:r w:rsidRPr="00442D9E">
              <w:rPr>
                <w:rStyle w:val="EndnoteReference"/>
                <w:rFonts w:cs="Arial"/>
                <w:color w:val="000000" w:themeColor="text1"/>
                <w:sz w:val="20"/>
                <w:szCs w:val="20"/>
                <w:shd w:val="clear" w:color="auto" w:fill="FFFFFF"/>
              </w:rPr>
              <w:endnoteReference w:id="97"/>
            </w:r>
          </w:p>
        </w:tc>
      </w:tr>
      <w:tr w:rsidR="00665E54" w:rsidRPr="005B76E5" w14:paraId="5B461BE5" w14:textId="77777777" w:rsidTr="00A0728C">
        <w:trPr>
          <w:cantSplit/>
          <w:trHeight w:val="352"/>
        </w:trPr>
        <w:tc>
          <w:tcPr>
            <w:tcW w:w="5000" w:type="pct"/>
            <w:gridSpan w:val="2"/>
            <w:shd w:val="clear" w:color="auto" w:fill="FE9648"/>
          </w:tcPr>
          <w:p w14:paraId="12301FF1" w14:textId="57280234" w:rsidR="00665E54" w:rsidRPr="003B2996" w:rsidRDefault="00D100D9" w:rsidP="00EF14EE">
            <w:pPr>
              <w:pStyle w:val="BodyText"/>
              <w:spacing w:before="60" w:after="60"/>
              <w:rPr>
                <w:rFonts w:cs="Arial"/>
                <w:color w:val="000000" w:themeColor="text1"/>
                <w:sz w:val="20"/>
                <w:szCs w:val="20"/>
              </w:rPr>
            </w:pPr>
            <w:r w:rsidRPr="003B2996">
              <w:rPr>
                <w:rFonts w:cs="Arial"/>
                <w:b/>
                <w:color w:val="000000" w:themeColor="text1"/>
                <w:sz w:val="20"/>
                <w:szCs w:val="20"/>
              </w:rPr>
              <w:t xml:space="preserve">Priority population: </w:t>
            </w:r>
            <w:r w:rsidR="00665E54" w:rsidRPr="003B2996">
              <w:rPr>
                <w:rFonts w:cs="Arial"/>
                <w:b/>
                <w:color w:val="000000" w:themeColor="text1"/>
                <w:sz w:val="20"/>
                <w:szCs w:val="20"/>
              </w:rPr>
              <w:t>People experiencing housing insecurity</w:t>
            </w:r>
          </w:p>
        </w:tc>
      </w:tr>
      <w:tr w:rsidR="00865DBB" w:rsidRPr="005B76E5" w14:paraId="69A514A9"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0E42FD08" w14:textId="2212452E"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7A7BF6C4" w14:textId="3A6D81EC"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Access to services limited by mobility and without proof of residence</w:t>
            </w:r>
          </w:p>
          <w:p w14:paraId="7B8A8799" w14:textId="66EAAB35" w:rsidR="003376A9" w:rsidRPr="00442D9E" w:rsidRDefault="003376A9" w:rsidP="003376A9">
            <w:pPr>
              <w:spacing w:after="120"/>
              <w:rPr>
                <w:rFonts w:cs="Arial"/>
                <w:color w:val="000000" w:themeColor="text1"/>
                <w:sz w:val="20"/>
                <w:szCs w:val="20"/>
              </w:rPr>
            </w:pPr>
            <w:r w:rsidRPr="00442D9E">
              <w:rPr>
                <w:rFonts w:cs="Arial"/>
                <w:color w:val="000000" w:themeColor="text1"/>
                <w:sz w:val="20"/>
                <w:szCs w:val="20"/>
              </w:rPr>
              <w:t>Challenge of accessing antenatal services for pregnant people who are experiencing housing insecurity</w:t>
            </w:r>
            <w:r w:rsidR="008B43F1">
              <w:rPr>
                <w:rFonts w:ascii="ZWAdobeF" w:hAnsi="ZWAdobeF" w:cs="ZWAdobeF"/>
                <w:sz w:val="2"/>
                <w:szCs w:val="2"/>
              </w:rPr>
              <w:t>98F</w:t>
            </w:r>
            <w:r w:rsidRPr="00442D9E">
              <w:rPr>
                <w:rStyle w:val="EndnoteReference"/>
                <w:rFonts w:cs="Arial"/>
                <w:color w:val="000000" w:themeColor="text1"/>
                <w:sz w:val="20"/>
                <w:szCs w:val="20"/>
              </w:rPr>
              <w:endnoteReference w:id="98"/>
            </w:r>
          </w:p>
          <w:p w14:paraId="3AF1CF28" w14:textId="53B70105" w:rsidR="003376A9" w:rsidRPr="00442D9E" w:rsidRDefault="003376A9" w:rsidP="003376A9">
            <w:pPr>
              <w:pStyle w:val="BodyText"/>
              <w:rPr>
                <w:rFonts w:cs="Arial"/>
                <w:color w:val="000000" w:themeColor="text1"/>
                <w:sz w:val="20"/>
                <w:szCs w:val="20"/>
              </w:rPr>
            </w:pPr>
            <w:r w:rsidRPr="00442D9E">
              <w:rPr>
                <w:rFonts w:cs="Arial"/>
                <w:color w:val="000000" w:themeColor="text1"/>
                <w:sz w:val="20"/>
                <w:szCs w:val="20"/>
                <w:shd w:val="clear" w:color="auto" w:fill="FFFFFF"/>
              </w:rPr>
              <w:t>Lesbian, gay</w:t>
            </w:r>
            <w:r w:rsidR="00E47D9B">
              <w:rPr>
                <w:rFonts w:cs="Arial"/>
                <w:color w:val="000000" w:themeColor="text1"/>
                <w:sz w:val="20"/>
                <w:szCs w:val="20"/>
                <w:shd w:val="clear" w:color="auto" w:fill="FFFFFF"/>
              </w:rPr>
              <w:t>,</w:t>
            </w:r>
            <w:r w:rsidRPr="00442D9E">
              <w:rPr>
                <w:rFonts w:cs="Arial"/>
                <w:color w:val="000000" w:themeColor="text1"/>
                <w:sz w:val="20"/>
                <w:szCs w:val="20"/>
                <w:shd w:val="clear" w:color="auto" w:fill="FFFFFF"/>
              </w:rPr>
              <w:t xml:space="preserve"> and bisexual people </w:t>
            </w:r>
            <w:r w:rsidR="006A2056">
              <w:rPr>
                <w:rFonts w:cs="Arial"/>
                <w:color w:val="000000" w:themeColor="text1"/>
                <w:sz w:val="20"/>
                <w:szCs w:val="20"/>
                <w:shd w:val="clear" w:color="auto" w:fill="FFFFFF"/>
              </w:rPr>
              <w:t xml:space="preserve">are </w:t>
            </w:r>
            <w:r w:rsidRPr="00442D9E">
              <w:rPr>
                <w:rFonts w:cs="Arial"/>
                <w:color w:val="000000" w:themeColor="text1"/>
                <w:sz w:val="20"/>
                <w:szCs w:val="20"/>
                <w:shd w:val="clear" w:color="auto" w:fill="FFFFFF"/>
              </w:rPr>
              <w:t>more likely than heterosexual people to experience housing insecurity</w:t>
            </w:r>
            <w:r w:rsidR="006A2056">
              <w:rPr>
                <w:rFonts w:cs="Arial"/>
                <w:color w:val="000000" w:themeColor="text1"/>
                <w:sz w:val="20"/>
                <w:szCs w:val="20"/>
                <w:shd w:val="clear" w:color="auto" w:fill="FFFFFF"/>
              </w:rPr>
              <w:t xml:space="preserve"> and</w:t>
            </w:r>
            <w:r w:rsidRPr="00442D9E">
              <w:rPr>
                <w:rFonts w:cs="Arial"/>
                <w:color w:val="000000" w:themeColor="text1"/>
                <w:sz w:val="20"/>
                <w:szCs w:val="20"/>
                <w:shd w:val="clear" w:color="auto" w:fill="FFFFFF"/>
              </w:rPr>
              <w:t xml:space="preserve"> may face additional stigma or discrimination in accessing STI, sexual health </w:t>
            </w:r>
            <w:r w:rsidRPr="00442D9E">
              <w:rPr>
                <w:rFonts w:cs="Arial"/>
                <w:color w:val="000000" w:themeColor="text1"/>
                <w:sz w:val="20"/>
                <w:szCs w:val="20"/>
              </w:rPr>
              <w:t xml:space="preserve">and other </w:t>
            </w:r>
            <w:r w:rsidRPr="00442D9E">
              <w:rPr>
                <w:rFonts w:cs="Arial"/>
                <w:color w:val="000000" w:themeColor="text1"/>
                <w:sz w:val="20"/>
                <w:szCs w:val="20"/>
                <w:shd w:val="clear" w:color="auto" w:fill="FFFFFF"/>
              </w:rPr>
              <w:t>health services</w:t>
            </w:r>
            <w:r w:rsidR="008B43F1">
              <w:rPr>
                <w:rFonts w:ascii="ZWAdobeF" w:hAnsi="ZWAdobeF" w:cs="ZWAdobeF"/>
                <w:sz w:val="2"/>
                <w:szCs w:val="2"/>
                <w:shd w:val="clear" w:color="auto" w:fill="FFFFFF"/>
              </w:rPr>
              <w:t>99F</w:t>
            </w:r>
            <w:r w:rsidRPr="00442D9E">
              <w:rPr>
                <w:rStyle w:val="EndnoteReference"/>
                <w:rFonts w:cs="Arial"/>
                <w:color w:val="000000" w:themeColor="text1"/>
                <w:sz w:val="20"/>
                <w:szCs w:val="20"/>
                <w:shd w:val="clear" w:color="auto" w:fill="FFFFFF"/>
              </w:rPr>
              <w:endnoteReference w:id="99"/>
            </w:r>
          </w:p>
        </w:tc>
      </w:tr>
      <w:tr w:rsidR="00865DBB" w:rsidRPr="005B76E5" w14:paraId="38E2123E"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438C85AC" w14:textId="31F4C942"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Key STI epidemiology</w:t>
            </w:r>
          </w:p>
        </w:tc>
        <w:tc>
          <w:tcPr>
            <w:tcW w:w="4177" w:type="pct"/>
            <w:tcBorders>
              <w:left w:val="nil"/>
            </w:tcBorders>
          </w:tcPr>
          <w:p w14:paraId="208EB06A" w14:textId="2061F4DD" w:rsidR="003376A9" w:rsidRPr="00442D9E" w:rsidRDefault="003376A9" w:rsidP="00686C1F">
            <w:pPr>
              <w:spacing w:before="60" w:after="120"/>
              <w:rPr>
                <w:rFonts w:cs="Arial"/>
                <w:color w:val="000000" w:themeColor="text1"/>
                <w:sz w:val="20"/>
                <w:szCs w:val="20"/>
              </w:rPr>
            </w:pPr>
            <w:r w:rsidRPr="00442D9E">
              <w:rPr>
                <w:rFonts w:cs="Arial"/>
                <w:color w:val="000000" w:themeColor="text1"/>
                <w:sz w:val="20"/>
                <w:szCs w:val="20"/>
              </w:rPr>
              <w:t>Limited information about STI for people experiencing housing insecurity</w:t>
            </w:r>
          </w:p>
          <w:p w14:paraId="6F98CD71" w14:textId="2EAF04D1" w:rsidR="003376A9" w:rsidRPr="00442D9E" w:rsidRDefault="003376A9" w:rsidP="003376A9">
            <w:pPr>
              <w:pStyle w:val="NormalWeb"/>
              <w:spacing w:before="0" w:beforeAutospacing="0" w:after="120" w:afterAutospacing="0"/>
              <w:rPr>
                <w:rFonts w:cs="Arial"/>
                <w:color w:val="000000" w:themeColor="text1"/>
                <w:sz w:val="20"/>
                <w:szCs w:val="20"/>
              </w:rPr>
            </w:pPr>
            <w:r w:rsidRPr="00442D9E">
              <w:rPr>
                <w:rFonts w:cs="Arial"/>
                <w:color w:val="000000" w:themeColor="text1"/>
                <w:sz w:val="20"/>
                <w:szCs w:val="20"/>
              </w:rPr>
              <w:t>Chlamydia and Mgen prevalent in a recent study of young people aged 12-24 who are experiencing housing insecurity</w:t>
            </w:r>
            <w:r w:rsidR="008B43F1">
              <w:rPr>
                <w:rFonts w:ascii="ZWAdobeF" w:hAnsi="ZWAdobeF" w:cs="ZWAdobeF"/>
                <w:sz w:val="2"/>
                <w:szCs w:val="2"/>
              </w:rPr>
              <w:t>100F</w:t>
            </w:r>
            <w:r w:rsidRPr="00442D9E">
              <w:rPr>
                <w:rStyle w:val="EndnoteReference"/>
                <w:rFonts w:cs="Arial"/>
                <w:color w:val="000000" w:themeColor="text1"/>
                <w:sz w:val="20"/>
                <w:szCs w:val="20"/>
              </w:rPr>
              <w:endnoteReference w:id="100"/>
            </w:r>
          </w:p>
          <w:p w14:paraId="00F101E3" w14:textId="3C450C72" w:rsidR="003376A9" w:rsidRPr="00442D9E" w:rsidRDefault="00146075" w:rsidP="003376A9">
            <w:pPr>
              <w:spacing w:after="120"/>
              <w:rPr>
                <w:rFonts w:cs="Arial"/>
                <w:color w:val="000000" w:themeColor="text1"/>
                <w:sz w:val="20"/>
                <w:szCs w:val="20"/>
              </w:rPr>
            </w:pPr>
            <w:r>
              <w:rPr>
                <w:rFonts w:cs="Arial"/>
                <w:color w:val="000000" w:themeColor="text1"/>
                <w:sz w:val="20"/>
                <w:szCs w:val="20"/>
              </w:rPr>
              <w:t>Focus on p</w:t>
            </w:r>
            <w:r w:rsidRPr="00442D9E">
              <w:rPr>
                <w:rFonts w:cs="Arial"/>
                <w:color w:val="000000" w:themeColor="text1"/>
                <w:sz w:val="20"/>
                <w:szCs w:val="20"/>
              </w:rPr>
              <w:t xml:space="preserve">eople who can get pregnant </w:t>
            </w:r>
          </w:p>
        </w:tc>
      </w:tr>
      <w:tr w:rsidR="00865DBB" w:rsidRPr="005B76E5" w14:paraId="4512DA82"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2C937139" w14:textId="16D9B0C3"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Other considerations</w:t>
            </w:r>
          </w:p>
        </w:tc>
        <w:tc>
          <w:tcPr>
            <w:tcW w:w="4177" w:type="pct"/>
            <w:tcBorders>
              <w:left w:val="nil"/>
            </w:tcBorders>
          </w:tcPr>
          <w:p w14:paraId="2F6B5E71" w14:textId="33C5EC6F"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Limited disaggregated information about STI and people experiencing housing insecurity</w:t>
            </w:r>
          </w:p>
        </w:tc>
      </w:tr>
      <w:tr w:rsidR="00665E54" w:rsidRPr="005B76E5" w14:paraId="7BE9E16B" w14:textId="77777777" w:rsidTr="00A0728C">
        <w:trPr>
          <w:cantSplit/>
          <w:trHeight w:val="352"/>
        </w:trPr>
        <w:tc>
          <w:tcPr>
            <w:tcW w:w="5000" w:type="pct"/>
            <w:gridSpan w:val="2"/>
            <w:shd w:val="clear" w:color="auto" w:fill="FE9648"/>
          </w:tcPr>
          <w:p w14:paraId="46851E58" w14:textId="3FFB4EDA" w:rsidR="00665E54" w:rsidRPr="003B2996" w:rsidRDefault="00D100D9" w:rsidP="00EF14EE">
            <w:pPr>
              <w:pStyle w:val="BodyText"/>
              <w:spacing w:before="60" w:after="60"/>
              <w:rPr>
                <w:rFonts w:cs="Arial"/>
                <w:color w:val="000000" w:themeColor="text1"/>
                <w:sz w:val="20"/>
                <w:szCs w:val="20"/>
              </w:rPr>
            </w:pPr>
            <w:r w:rsidRPr="003B2996">
              <w:rPr>
                <w:rFonts w:cs="Arial"/>
                <w:b/>
                <w:color w:val="000000" w:themeColor="text1"/>
                <w:sz w:val="20"/>
                <w:szCs w:val="20"/>
              </w:rPr>
              <w:t xml:space="preserve">Priority population: </w:t>
            </w:r>
            <w:r w:rsidR="00665E54" w:rsidRPr="003B2996">
              <w:rPr>
                <w:rFonts w:cs="Arial"/>
                <w:b/>
                <w:color w:val="000000" w:themeColor="text1"/>
                <w:sz w:val="20"/>
                <w:szCs w:val="20"/>
              </w:rPr>
              <w:t>People who have had a STI in the previous 12 months</w:t>
            </w:r>
          </w:p>
        </w:tc>
      </w:tr>
      <w:tr w:rsidR="00865DBB" w:rsidRPr="005B76E5" w14:paraId="28A36E03"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677F3B74" w14:textId="55FBE181"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Structural barriers to accessing healthcare</w:t>
            </w:r>
          </w:p>
        </w:tc>
        <w:tc>
          <w:tcPr>
            <w:tcW w:w="4177" w:type="pct"/>
            <w:tcBorders>
              <w:left w:val="nil"/>
            </w:tcBorders>
          </w:tcPr>
          <w:p w14:paraId="28B096A6" w14:textId="270CC814" w:rsidR="00146075" w:rsidRDefault="00146075" w:rsidP="00146075">
            <w:pPr>
              <w:pStyle w:val="BodyText"/>
              <w:rPr>
                <w:rFonts w:cs="Arial"/>
                <w:color w:val="000000" w:themeColor="text1"/>
                <w:sz w:val="20"/>
                <w:szCs w:val="20"/>
              </w:rPr>
            </w:pPr>
            <w:r w:rsidRPr="00442D9E">
              <w:rPr>
                <w:rFonts w:cs="Arial"/>
                <w:color w:val="000000" w:themeColor="text1"/>
                <w:sz w:val="20"/>
                <w:szCs w:val="20"/>
              </w:rPr>
              <w:t>Opportunity – already engaged with sexual healthcare and clearly relevant group for focused attention</w:t>
            </w:r>
          </w:p>
          <w:p w14:paraId="2BD55739" w14:textId="2C0DCE50" w:rsidR="00146075" w:rsidRDefault="00146075" w:rsidP="00146075">
            <w:pPr>
              <w:pStyle w:val="BodyText"/>
              <w:rPr>
                <w:rFonts w:cs="Arial"/>
                <w:color w:val="000000" w:themeColor="text1"/>
                <w:sz w:val="20"/>
                <w:szCs w:val="20"/>
              </w:rPr>
            </w:pPr>
            <w:r w:rsidRPr="00AC1E53">
              <w:rPr>
                <w:rFonts w:cs="Arial"/>
                <w:color w:val="000000" w:themeColor="text1"/>
                <w:sz w:val="20"/>
                <w:szCs w:val="20"/>
              </w:rPr>
              <w:t>May fear and/or experience stigma and discrimination when accessing healthcare</w:t>
            </w:r>
          </w:p>
          <w:p w14:paraId="1718ACA2" w14:textId="0ECCC5D7" w:rsidR="00146075" w:rsidRPr="00442D9E" w:rsidRDefault="00146075" w:rsidP="00686C1F">
            <w:pPr>
              <w:pStyle w:val="BodyText"/>
              <w:spacing w:before="60"/>
              <w:rPr>
                <w:rFonts w:cs="Arial"/>
                <w:color w:val="000000" w:themeColor="text1"/>
                <w:sz w:val="20"/>
                <w:szCs w:val="20"/>
              </w:rPr>
            </w:pPr>
            <w:r>
              <w:rPr>
                <w:rFonts w:cs="Arial"/>
                <w:color w:val="000000" w:themeColor="text1"/>
                <w:sz w:val="20"/>
                <w:szCs w:val="20"/>
              </w:rPr>
              <w:t>May avoid healthcare if they perceive they are no longer at risk of STI after recently engaging healthcare</w:t>
            </w:r>
          </w:p>
        </w:tc>
      </w:tr>
      <w:tr w:rsidR="00865DBB" w:rsidRPr="005B76E5" w14:paraId="64572E27" w14:textId="77777777" w:rsidTr="005B76E5">
        <w:trPr>
          <w:cantSplit/>
          <w:trHeight w:val="352"/>
        </w:trPr>
        <w:tc>
          <w:tcPr>
            <w:tcW w:w="823" w:type="pct"/>
            <w:tcBorders>
              <w:top w:val="single" w:sz="4" w:space="0" w:color="AEAAAA" w:themeColor="background2" w:themeShade="BF"/>
              <w:bottom w:val="single" w:sz="4" w:space="0" w:color="AEAAAA" w:themeColor="background2" w:themeShade="BF"/>
              <w:right w:val="nil"/>
            </w:tcBorders>
            <w:shd w:val="clear" w:color="auto" w:fill="EDEDED" w:themeFill="accent3" w:themeFillTint="33"/>
          </w:tcPr>
          <w:p w14:paraId="5EF564BB" w14:textId="3B06F4FE"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lastRenderedPageBreak/>
              <w:t>Key STI epidemiology</w:t>
            </w:r>
          </w:p>
        </w:tc>
        <w:tc>
          <w:tcPr>
            <w:tcW w:w="4177" w:type="pct"/>
            <w:tcBorders>
              <w:left w:val="nil"/>
              <w:bottom w:val="single" w:sz="4" w:space="0" w:color="AEAAAA" w:themeColor="background2" w:themeShade="BF"/>
            </w:tcBorders>
          </w:tcPr>
          <w:p w14:paraId="4E23823E" w14:textId="77777777" w:rsidR="003376A9" w:rsidRDefault="003376A9" w:rsidP="00686C1F">
            <w:pPr>
              <w:spacing w:before="60" w:after="120"/>
              <w:rPr>
                <w:rFonts w:cs="Arial"/>
                <w:color w:val="000000" w:themeColor="text1"/>
                <w:sz w:val="20"/>
                <w:szCs w:val="20"/>
              </w:rPr>
            </w:pPr>
            <w:r w:rsidRPr="00442D9E">
              <w:rPr>
                <w:rFonts w:cs="Arial"/>
                <w:color w:val="000000" w:themeColor="text1"/>
                <w:sz w:val="20"/>
                <w:szCs w:val="20"/>
              </w:rPr>
              <w:t>People who have one or more STI need clear referral pathways, access to STI, sexual health services and follow-up</w:t>
            </w:r>
          </w:p>
          <w:p w14:paraId="07265352" w14:textId="4E833C6F" w:rsidR="003376A9" w:rsidRPr="00442D9E" w:rsidRDefault="00A81832" w:rsidP="003376A9">
            <w:pPr>
              <w:spacing w:after="120"/>
              <w:rPr>
                <w:rFonts w:cs="Arial"/>
                <w:color w:val="000000" w:themeColor="text1"/>
                <w:sz w:val="20"/>
                <w:szCs w:val="20"/>
              </w:rPr>
            </w:pPr>
            <w:r>
              <w:rPr>
                <w:rFonts w:cs="Arial"/>
                <w:color w:val="000000" w:themeColor="text1"/>
                <w:sz w:val="20"/>
                <w:szCs w:val="20"/>
              </w:rPr>
              <w:t>Focus on p</w:t>
            </w:r>
            <w:r w:rsidR="003376A9" w:rsidRPr="00442D9E">
              <w:rPr>
                <w:rFonts w:cs="Arial"/>
                <w:color w:val="000000" w:themeColor="text1"/>
                <w:sz w:val="20"/>
                <w:szCs w:val="20"/>
              </w:rPr>
              <w:t xml:space="preserve">eople who can get pregnant </w:t>
            </w:r>
          </w:p>
        </w:tc>
      </w:tr>
      <w:tr w:rsidR="00865DBB" w:rsidRPr="005B76E5" w14:paraId="6DE3617F" w14:textId="77777777" w:rsidTr="005B76E5">
        <w:trPr>
          <w:cantSplit/>
          <w:trHeight w:val="352"/>
        </w:trPr>
        <w:tc>
          <w:tcPr>
            <w:tcW w:w="823" w:type="pct"/>
            <w:tcBorders>
              <w:top w:val="single" w:sz="4" w:space="0" w:color="AEAAAA" w:themeColor="background2" w:themeShade="BF"/>
              <w:bottom w:val="single" w:sz="18" w:space="0" w:color="FFC000" w:themeColor="accent4"/>
              <w:right w:val="nil"/>
            </w:tcBorders>
            <w:shd w:val="clear" w:color="auto" w:fill="EDEDED" w:themeFill="accent3" w:themeFillTint="33"/>
          </w:tcPr>
          <w:p w14:paraId="279B6BC5" w14:textId="14F19A07" w:rsidR="003376A9" w:rsidRPr="003B2996" w:rsidRDefault="003376A9" w:rsidP="00686C1F">
            <w:pPr>
              <w:pStyle w:val="BodyText"/>
              <w:spacing w:before="60"/>
              <w:rPr>
                <w:rFonts w:cs="Arial"/>
                <w:color w:val="000000" w:themeColor="text1"/>
                <w:sz w:val="20"/>
                <w:szCs w:val="20"/>
              </w:rPr>
            </w:pPr>
            <w:r w:rsidRPr="003B2996">
              <w:rPr>
                <w:rFonts w:cs="Arial"/>
                <w:color w:val="000000" w:themeColor="text1"/>
                <w:sz w:val="20"/>
                <w:szCs w:val="20"/>
              </w:rPr>
              <w:t>Other considerations</w:t>
            </w:r>
          </w:p>
        </w:tc>
        <w:tc>
          <w:tcPr>
            <w:tcW w:w="4177" w:type="pct"/>
            <w:tcBorders>
              <w:top w:val="single" w:sz="4" w:space="0" w:color="AEAAAA" w:themeColor="background2" w:themeShade="BF"/>
              <w:left w:val="nil"/>
              <w:bottom w:val="single" w:sz="18" w:space="0" w:color="FFC000" w:themeColor="accent4"/>
            </w:tcBorders>
          </w:tcPr>
          <w:p w14:paraId="108232CB" w14:textId="0B58A444" w:rsidR="003376A9" w:rsidRPr="00442D9E" w:rsidRDefault="003376A9" w:rsidP="00686C1F">
            <w:pPr>
              <w:pStyle w:val="BodyText"/>
              <w:spacing w:before="60"/>
              <w:rPr>
                <w:rFonts w:cs="Arial"/>
                <w:color w:val="000000" w:themeColor="text1"/>
                <w:sz w:val="20"/>
                <w:szCs w:val="20"/>
              </w:rPr>
            </w:pPr>
            <w:r w:rsidRPr="00442D9E">
              <w:rPr>
                <w:rFonts w:cs="Arial"/>
                <w:color w:val="000000" w:themeColor="text1"/>
                <w:sz w:val="20"/>
                <w:szCs w:val="20"/>
              </w:rPr>
              <w:t>The timely diagnosis, treatment, care</w:t>
            </w:r>
            <w:r w:rsidR="007E5F02">
              <w:rPr>
                <w:rFonts w:cs="Arial"/>
                <w:color w:val="000000" w:themeColor="text1"/>
                <w:sz w:val="20"/>
                <w:szCs w:val="20"/>
              </w:rPr>
              <w:t>,</w:t>
            </w:r>
            <w:r w:rsidRPr="00442D9E">
              <w:rPr>
                <w:rFonts w:cs="Arial"/>
                <w:color w:val="000000" w:themeColor="text1"/>
                <w:sz w:val="20"/>
                <w:szCs w:val="20"/>
              </w:rPr>
              <w:t xml:space="preserve"> and support for people with an STI </w:t>
            </w:r>
            <w:r w:rsidR="00761DDC">
              <w:rPr>
                <w:rFonts w:cs="Arial"/>
                <w:color w:val="000000" w:themeColor="text1"/>
                <w:sz w:val="20"/>
                <w:szCs w:val="20"/>
              </w:rPr>
              <w:t>is</w:t>
            </w:r>
            <w:r w:rsidRPr="00442D9E">
              <w:rPr>
                <w:rFonts w:cs="Arial"/>
                <w:color w:val="000000" w:themeColor="text1"/>
                <w:sz w:val="20"/>
                <w:szCs w:val="20"/>
              </w:rPr>
              <w:t xml:space="preserve"> an opportunity for awareness raising about future STI prevention, sexual health</w:t>
            </w:r>
            <w:r w:rsidR="007E5F02">
              <w:rPr>
                <w:rFonts w:cs="Arial"/>
                <w:color w:val="000000" w:themeColor="text1"/>
                <w:sz w:val="20"/>
                <w:szCs w:val="20"/>
              </w:rPr>
              <w:t>,</w:t>
            </w:r>
            <w:r w:rsidRPr="00442D9E">
              <w:rPr>
                <w:rFonts w:cs="Arial"/>
                <w:color w:val="000000" w:themeColor="text1"/>
                <w:sz w:val="20"/>
                <w:szCs w:val="20"/>
              </w:rPr>
              <w:t xml:space="preserve"> and well-being</w:t>
            </w:r>
            <w:r w:rsidR="008B43F1">
              <w:rPr>
                <w:rFonts w:ascii="ZWAdobeF" w:hAnsi="ZWAdobeF" w:cs="ZWAdobeF"/>
                <w:sz w:val="2"/>
                <w:szCs w:val="2"/>
              </w:rPr>
              <w:t>101F</w:t>
            </w:r>
            <w:r w:rsidRPr="00442D9E">
              <w:rPr>
                <w:rStyle w:val="EndnoteReference"/>
                <w:rFonts w:cs="Arial"/>
                <w:color w:val="000000" w:themeColor="text1"/>
                <w:sz w:val="20"/>
                <w:szCs w:val="20"/>
              </w:rPr>
              <w:endnoteReference w:id="101"/>
            </w:r>
          </w:p>
        </w:tc>
      </w:tr>
    </w:tbl>
    <w:p w14:paraId="3812735C" w14:textId="0045195E" w:rsidR="00031E79" w:rsidRPr="00D56643" w:rsidRDefault="00031E79" w:rsidP="00D56643">
      <w:pPr>
        <w:rPr>
          <w:rFonts w:eastAsia="Times New Roman" w:cs="Arial"/>
          <w:color w:val="000000"/>
          <w:sz w:val="22"/>
          <w:szCs w:val="21"/>
          <w:lang w:val="en-NZ" w:eastAsia="en-NZ"/>
        </w:rPr>
      </w:pPr>
    </w:p>
    <w:p w14:paraId="345F440C" w14:textId="701E093F" w:rsidR="00031E79" w:rsidRPr="007E1A00" w:rsidRDefault="00031E79" w:rsidP="007E1A00">
      <w:pPr>
        <w:pStyle w:val="Heading2"/>
        <w:rPr>
          <w:rFonts w:ascii="Arial" w:hAnsi="Arial" w:cs="Arial"/>
        </w:rPr>
      </w:pPr>
      <w:bookmarkStart w:id="68" w:name="_Toc138173806"/>
      <w:bookmarkStart w:id="69" w:name="_Toc146813399"/>
      <w:bookmarkStart w:id="70" w:name="_Toc150160961"/>
      <w:bookmarkStart w:id="71" w:name="_Toc163737187"/>
      <w:r w:rsidRPr="00442D9E">
        <w:rPr>
          <w:rFonts w:ascii="Arial" w:hAnsi="Arial" w:cs="Arial"/>
        </w:rPr>
        <w:t>7.2 Priority settings</w:t>
      </w:r>
      <w:bookmarkEnd w:id="68"/>
      <w:bookmarkEnd w:id="69"/>
      <w:bookmarkEnd w:id="70"/>
      <w:bookmarkEnd w:id="71"/>
    </w:p>
    <w:p w14:paraId="2DCE388E" w14:textId="3AAA320C" w:rsidR="00031E79" w:rsidRDefault="00031E79" w:rsidP="00017423">
      <w:pPr>
        <w:pStyle w:val="BodyText"/>
        <w:spacing w:after="0"/>
        <w:jc w:val="both"/>
        <w:rPr>
          <w:rFonts w:cs="Arial"/>
          <w:color w:val="000000" w:themeColor="text1"/>
          <w:sz w:val="22"/>
          <w:szCs w:val="22"/>
        </w:rPr>
      </w:pPr>
      <w:r w:rsidRPr="00442D9E">
        <w:rPr>
          <w:rFonts w:cs="Arial"/>
          <w:color w:val="000000" w:themeColor="text1"/>
          <w:sz w:val="22"/>
          <w:szCs w:val="22"/>
        </w:rPr>
        <w:t>STI responses can be better positioned and delivered within the social and cultural contexts of affected communities and priority populations by taking settings</w:t>
      </w:r>
      <w:r w:rsidR="009A58AC" w:rsidRPr="00442D9E">
        <w:rPr>
          <w:rFonts w:cs="Arial"/>
          <w:color w:val="000000" w:themeColor="text1"/>
          <w:sz w:val="22"/>
          <w:szCs w:val="22"/>
        </w:rPr>
        <w:t>-</w:t>
      </w:r>
      <w:r w:rsidRPr="00442D9E">
        <w:rPr>
          <w:rFonts w:cs="Arial"/>
          <w:color w:val="000000" w:themeColor="text1"/>
          <w:sz w:val="22"/>
          <w:szCs w:val="22"/>
        </w:rPr>
        <w:t>based approaches. People within one or more priority populations live, work, socialise</w:t>
      </w:r>
      <w:r w:rsidR="00B826A8">
        <w:rPr>
          <w:rFonts w:cs="Arial"/>
          <w:color w:val="000000" w:themeColor="text1"/>
          <w:sz w:val="22"/>
          <w:szCs w:val="22"/>
        </w:rPr>
        <w:t>,</w:t>
      </w:r>
      <w:r w:rsidRPr="00442D9E">
        <w:rPr>
          <w:rFonts w:cs="Arial"/>
          <w:color w:val="000000" w:themeColor="text1"/>
          <w:sz w:val="22"/>
          <w:szCs w:val="22"/>
        </w:rPr>
        <w:t xml:space="preserve"> and access healthcare in a variety of ways. This includes in-person and online settings. Geography is also an important consideration, particularly in regional, rural</w:t>
      </w:r>
      <w:r w:rsidR="00531E1F">
        <w:rPr>
          <w:rFonts w:cs="Arial"/>
          <w:color w:val="000000" w:themeColor="text1"/>
          <w:sz w:val="22"/>
          <w:szCs w:val="22"/>
        </w:rPr>
        <w:t>,</w:t>
      </w:r>
      <w:r w:rsidRPr="00442D9E">
        <w:rPr>
          <w:rFonts w:cs="Arial"/>
          <w:color w:val="000000" w:themeColor="text1"/>
          <w:sz w:val="22"/>
          <w:szCs w:val="22"/>
        </w:rPr>
        <w:t xml:space="preserve"> and remote Australia, </w:t>
      </w:r>
      <w:r w:rsidR="007C1429" w:rsidRPr="00442D9E">
        <w:rPr>
          <w:rFonts w:cs="Arial"/>
          <w:color w:val="000000" w:themeColor="text1"/>
          <w:sz w:val="22"/>
          <w:szCs w:val="22"/>
        </w:rPr>
        <w:t xml:space="preserve">as </w:t>
      </w:r>
      <w:r w:rsidRPr="00442D9E">
        <w:rPr>
          <w:rFonts w:cs="Arial"/>
          <w:color w:val="000000" w:themeColor="text1"/>
          <w:sz w:val="22"/>
          <w:szCs w:val="22"/>
        </w:rPr>
        <w:t>distance can pose a significant barrier to accessing timely sexual and other health services.</w:t>
      </w:r>
    </w:p>
    <w:p w14:paraId="64AEAEB0" w14:textId="77777777" w:rsidR="00692208" w:rsidRDefault="00692208" w:rsidP="00017423">
      <w:pPr>
        <w:pStyle w:val="BodyText"/>
        <w:spacing w:after="0"/>
        <w:jc w:val="both"/>
        <w:rPr>
          <w:rFonts w:cs="Arial"/>
          <w:color w:val="000000" w:themeColor="text1"/>
          <w:sz w:val="22"/>
          <w:szCs w:val="22"/>
        </w:rPr>
      </w:pPr>
    </w:p>
    <w:p w14:paraId="4986F3C4" w14:textId="7C3DC26D" w:rsidR="00692208" w:rsidRPr="00442D9E" w:rsidRDefault="00692208" w:rsidP="00ED0E53">
      <w:r w:rsidRPr="00A03AB8">
        <w:rPr>
          <w:rFonts w:cs="Arial"/>
          <w:color w:val="000000" w:themeColor="text1"/>
          <w:sz w:val="22"/>
          <w:szCs w:val="22"/>
        </w:rPr>
        <w:t>Across all STI and sexual health promotion materials used in all settings, community leadership should be respected, and attention should be paid to language (including translation and interpretation, as well as cultural resonance), diversity and the inclusion of a range of perspectives across and within communities.</w:t>
      </w:r>
    </w:p>
    <w:p w14:paraId="2B9EF112" w14:textId="77777777" w:rsidR="00031E79" w:rsidRPr="00442D9E" w:rsidRDefault="00031E79" w:rsidP="00397CF0">
      <w:pPr>
        <w:pBdr>
          <w:top w:val="nil"/>
          <w:left w:val="nil"/>
          <w:bottom w:val="nil"/>
          <w:right w:val="nil"/>
          <w:between w:val="nil"/>
        </w:pBdr>
        <w:shd w:val="clear" w:color="auto" w:fill="FFFFFF"/>
        <w:jc w:val="both"/>
        <w:rPr>
          <w:rFonts w:cs="Arial"/>
          <w:color w:val="000000" w:themeColor="text1"/>
          <w:sz w:val="22"/>
          <w:szCs w:val="22"/>
        </w:rPr>
      </w:pPr>
    </w:p>
    <w:p w14:paraId="6F37C7AE" w14:textId="62A26C1D" w:rsidR="00031E79" w:rsidRPr="00442D9E" w:rsidRDefault="00031E79" w:rsidP="4E112BA1">
      <w:pPr>
        <w:pBdr>
          <w:top w:val="nil"/>
          <w:left w:val="nil"/>
          <w:bottom w:val="nil"/>
          <w:right w:val="nil"/>
          <w:between w:val="nil"/>
        </w:pBdr>
        <w:shd w:val="clear" w:color="auto" w:fill="FFFFFF" w:themeFill="background1"/>
        <w:jc w:val="both"/>
        <w:rPr>
          <w:rFonts w:cs="Arial"/>
          <w:color w:val="000000" w:themeColor="text1"/>
          <w:sz w:val="22"/>
          <w:szCs w:val="22"/>
        </w:rPr>
      </w:pPr>
      <w:r w:rsidRPr="00442D9E">
        <w:rPr>
          <w:rFonts w:cs="Arial"/>
          <w:color w:val="000000" w:themeColor="text1"/>
          <w:sz w:val="22"/>
          <w:szCs w:val="22"/>
        </w:rPr>
        <w:t>The following priority settings have been identified to help focus efforts on specific settings frequented by priority populations to enhance access to and engagement with sexual health services.</w:t>
      </w:r>
      <w:r w:rsidR="008B43F1">
        <w:rPr>
          <w:rFonts w:ascii="ZWAdobeF" w:hAnsi="ZWAdobeF" w:cs="ZWAdobeF"/>
          <w:sz w:val="2"/>
          <w:szCs w:val="2"/>
        </w:rPr>
        <w:t>102F</w:t>
      </w:r>
      <w:r w:rsidRPr="00442D9E">
        <w:rPr>
          <w:rStyle w:val="EndnoteReference"/>
          <w:rFonts w:cs="Arial"/>
          <w:color w:val="000000" w:themeColor="text1"/>
          <w:sz w:val="22"/>
          <w:szCs w:val="22"/>
        </w:rPr>
        <w:endnoteReference w:id="102"/>
      </w:r>
      <w:r w:rsidRPr="00442D9E">
        <w:rPr>
          <w:rFonts w:cs="Arial"/>
          <w:color w:val="000000" w:themeColor="text1"/>
          <w:sz w:val="22"/>
          <w:szCs w:val="22"/>
        </w:rPr>
        <w:t xml:space="preserve"> An important consideration is to take services to meet people where they are (literally and metaphorically</w:t>
      </w:r>
      <w:r w:rsidR="109AF4BB" w:rsidRPr="00442D9E">
        <w:rPr>
          <w:rFonts w:cs="Arial"/>
          <w:color w:val="000000" w:themeColor="text1"/>
          <w:sz w:val="22"/>
          <w:szCs w:val="22"/>
        </w:rPr>
        <w:t>),</w:t>
      </w:r>
      <w:r w:rsidRPr="00442D9E">
        <w:rPr>
          <w:rFonts w:cs="Arial"/>
          <w:color w:val="000000" w:themeColor="text1"/>
          <w:sz w:val="22"/>
          <w:szCs w:val="22"/>
        </w:rPr>
        <w:t xml:space="preserve"> rather than expecting that people will come to existing services.</w:t>
      </w:r>
    </w:p>
    <w:p w14:paraId="2ED880B5" w14:textId="77777777" w:rsidR="00031E79" w:rsidRPr="00442D9E" w:rsidRDefault="00031E79" w:rsidP="00397CF0">
      <w:pPr>
        <w:pBdr>
          <w:top w:val="nil"/>
          <w:left w:val="nil"/>
          <w:bottom w:val="nil"/>
          <w:right w:val="nil"/>
          <w:between w:val="nil"/>
        </w:pBdr>
        <w:shd w:val="clear" w:color="auto" w:fill="FFFFFF"/>
        <w:jc w:val="both"/>
        <w:rPr>
          <w:rFonts w:cs="Arial"/>
          <w:b/>
          <w:bCs/>
          <w:color w:val="000000" w:themeColor="text1"/>
          <w:sz w:val="22"/>
          <w:szCs w:val="22"/>
        </w:rPr>
      </w:pPr>
    </w:p>
    <w:p w14:paraId="039A0BEA" w14:textId="2E448189" w:rsidR="00031E79" w:rsidRPr="00442D9E" w:rsidRDefault="00031E79" w:rsidP="00397CF0">
      <w:pPr>
        <w:pBdr>
          <w:top w:val="nil"/>
          <w:left w:val="nil"/>
          <w:bottom w:val="nil"/>
          <w:right w:val="nil"/>
          <w:between w:val="nil"/>
        </w:pBdr>
        <w:shd w:val="clear" w:color="auto" w:fill="FFFFFF"/>
        <w:jc w:val="both"/>
        <w:rPr>
          <w:rFonts w:cs="Arial"/>
          <w:b/>
          <w:bCs/>
          <w:color w:val="000000" w:themeColor="text1"/>
          <w:sz w:val="22"/>
          <w:szCs w:val="22"/>
        </w:rPr>
      </w:pPr>
      <w:r w:rsidRPr="00442D9E">
        <w:rPr>
          <w:rFonts w:cs="Arial"/>
          <w:b/>
          <w:bCs/>
          <w:color w:val="000000" w:themeColor="text1"/>
          <w:sz w:val="22"/>
          <w:szCs w:val="22"/>
        </w:rPr>
        <w:t xml:space="preserve">Community-based settings </w:t>
      </w:r>
    </w:p>
    <w:p w14:paraId="382BDBDB" w14:textId="342E25F1" w:rsidR="00031E79" w:rsidRPr="00442D9E" w:rsidRDefault="00031E79" w:rsidP="00AE3D53">
      <w:pPr>
        <w:pStyle w:val="Body"/>
        <w:jc w:val="both"/>
        <w:rPr>
          <w:rFonts w:ascii="Arial" w:hAnsi="Arial" w:cs="Arial"/>
          <w:color w:val="000000" w:themeColor="text1"/>
          <w:sz w:val="22"/>
          <w:szCs w:val="22"/>
          <w:lang w:val="en-AU"/>
        </w:rPr>
      </w:pPr>
      <w:r w:rsidRPr="00442D9E">
        <w:rPr>
          <w:rFonts w:ascii="Arial" w:eastAsia="Calibri" w:hAnsi="Arial" w:cs="Arial"/>
          <w:color w:val="000000" w:themeColor="text1"/>
          <w:sz w:val="22"/>
          <w:szCs w:val="22"/>
          <w:bdr w:val="none" w:sz="0" w:space="0" w:color="auto"/>
          <w:lang w:val="en-AU"/>
          <w14:textOutline w14:w="0" w14:cap="rnd" w14:cmpd="sng" w14:algn="ctr">
            <w14:noFill/>
            <w14:prstDash w14:val="solid"/>
            <w14:bevel/>
          </w14:textOutline>
        </w:rPr>
        <w:t xml:space="preserve">Engaging people with STI in the places where they live, work, and socialise is critical, particularly for priority populations who may experience barriers to accessing mainstream primary and tertiary services. These settings play a number of different roles, including testing, treatment, and ongoing care, support for chronic disease management, health system navigation, linkages to appropriate healthcare and other social and health support services, and access to appropriate and safe health promotion and education. Some community-based settings with a particularly active or focussed role in addressing </w:t>
      </w:r>
      <w:r w:rsidR="00F76C02">
        <w:rPr>
          <w:rFonts w:ascii="Arial" w:eastAsia="Calibri" w:hAnsi="Arial" w:cs="Arial"/>
          <w:color w:val="000000" w:themeColor="text1"/>
          <w:sz w:val="22"/>
          <w:szCs w:val="22"/>
          <w:bdr w:val="none" w:sz="0" w:space="0" w:color="auto"/>
          <w:lang w:val="en-AU"/>
          <w14:textOutline w14:w="0" w14:cap="rnd" w14:cmpd="sng" w14:algn="ctr">
            <w14:noFill/>
            <w14:prstDash w14:val="solid"/>
            <w14:bevel/>
          </w14:textOutline>
        </w:rPr>
        <w:t>STI</w:t>
      </w:r>
      <w:r w:rsidRPr="00442D9E">
        <w:rPr>
          <w:rFonts w:ascii="Arial" w:eastAsia="Calibri" w:hAnsi="Arial" w:cs="Arial"/>
          <w:color w:val="000000" w:themeColor="text1"/>
          <w:sz w:val="22"/>
          <w:szCs w:val="22"/>
          <w:bdr w:val="none" w:sz="0" w:space="0" w:color="auto"/>
          <w:lang w:val="en-AU"/>
          <w14:textOutline w14:w="0" w14:cap="rnd" w14:cmpd="sng" w14:algn="ctr">
            <w14:noFill/>
            <w14:prstDash w14:val="solid"/>
            <w14:bevel/>
          </w14:textOutline>
        </w:rPr>
        <w:t xml:space="preserve"> include: </w:t>
      </w:r>
    </w:p>
    <w:p w14:paraId="60DCBC47" w14:textId="77777777" w:rsidR="00031E79" w:rsidRPr="00442D9E" w:rsidRDefault="00031E79" w:rsidP="00AE3D53">
      <w:pPr>
        <w:jc w:val="both"/>
        <w:rPr>
          <w:rFonts w:cs="Arial"/>
          <w:i/>
          <w:iCs/>
        </w:rPr>
      </w:pPr>
    </w:p>
    <w:p w14:paraId="38C26324" w14:textId="44CF542B" w:rsidR="00031E79" w:rsidRDefault="00031E79" w:rsidP="00AE3D53">
      <w:pPr>
        <w:jc w:val="both"/>
        <w:rPr>
          <w:rFonts w:cs="Arial"/>
          <w:i/>
          <w:color w:val="000000" w:themeColor="text1"/>
          <w:sz w:val="22"/>
          <w:szCs w:val="22"/>
        </w:rPr>
      </w:pPr>
      <w:r w:rsidRPr="00442D9E">
        <w:rPr>
          <w:rFonts w:cs="Arial"/>
          <w:i/>
          <w:color w:val="000000" w:themeColor="text1"/>
          <w:sz w:val="22"/>
          <w:szCs w:val="22"/>
        </w:rPr>
        <w:t>Multicultural BBV and STI services</w:t>
      </w:r>
    </w:p>
    <w:p w14:paraId="3E91EEB3" w14:textId="77777777" w:rsidR="00A31D55" w:rsidRPr="00442D9E" w:rsidRDefault="00A31D55" w:rsidP="00AE3D53">
      <w:pPr>
        <w:jc w:val="both"/>
        <w:rPr>
          <w:rFonts w:cs="Arial"/>
          <w:i/>
          <w:color w:val="000000" w:themeColor="text1"/>
          <w:sz w:val="22"/>
          <w:szCs w:val="22"/>
        </w:rPr>
      </w:pPr>
    </w:p>
    <w:p w14:paraId="1E60DE76" w14:textId="77777777" w:rsidR="00031E79" w:rsidRPr="00442D9E" w:rsidRDefault="00031E79" w:rsidP="00AE3D53">
      <w:pPr>
        <w:jc w:val="both"/>
        <w:rPr>
          <w:rFonts w:cs="Arial"/>
          <w:color w:val="000000" w:themeColor="text1"/>
          <w:sz w:val="22"/>
          <w:szCs w:val="22"/>
        </w:rPr>
      </w:pPr>
      <w:r w:rsidRPr="00442D9E">
        <w:rPr>
          <w:rFonts w:cs="Arial"/>
          <w:color w:val="000000" w:themeColor="text1"/>
          <w:sz w:val="22"/>
          <w:szCs w:val="22"/>
        </w:rPr>
        <w:t>Multicultural BBV and STI services work with culturally, ethnically, and linguistically diverse communities to ensure equitable access to specific BBV and STI related healthcare, health promotion, education, and community development. They also forge important relationships with the broader BBV and STI and healthcare sector to advocate for better health and wellbeing outcomes for culturally, ethnically, and linguistically diverse communities.</w:t>
      </w:r>
    </w:p>
    <w:p w14:paraId="7D46347B" w14:textId="77777777" w:rsidR="00031E79" w:rsidRPr="00442D9E" w:rsidRDefault="00031E79" w:rsidP="00AE3D53">
      <w:pPr>
        <w:jc w:val="both"/>
        <w:rPr>
          <w:rFonts w:cs="Arial"/>
          <w:i/>
          <w:color w:val="000000" w:themeColor="text1"/>
          <w:sz w:val="22"/>
          <w:szCs w:val="22"/>
        </w:rPr>
      </w:pPr>
    </w:p>
    <w:p w14:paraId="75BB40DD" w14:textId="2A13E4F5" w:rsidR="00031E79" w:rsidRPr="00AF096D" w:rsidRDefault="00031E79" w:rsidP="00AE3D53">
      <w:pPr>
        <w:jc w:val="both"/>
        <w:rPr>
          <w:rFonts w:cs="Arial"/>
          <w:i/>
          <w:color w:val="000000" w:themeColor="text1"/>
          <w:sz w:val="22"/>
          <w:szCs w:val="22"/>
        </w:rPr>
      </w:pPr>
      <w:r w:rsidRPr="00AF096D">
        <w:rPr>
          <w:rFonts w:cs="Arial"/>
          <w:i/>
          <w:color w:val="000000" w:themeColor="text1"/>
          <w:sz w:val="22"/>
          <w:szCs w:val="22"/>
        </w:rPr>
        <w:t xml:space="preserve">Aboriginal Community Controlled Health Organisations/Aboriginal Medical Services </w:t>
      </w:r>
    </w:p>
    <w:p w14:paraId="2BE6607A" w14:textId="77777777" w:rsidR="00A31D55" w:rsidRPr="00AF096D" w:rsidRDefault="00A31D55" w:rsidP="00AE3D53">
      <w:pPr>
        <w:jc w:val="both"/>
        <w:rPr>
          <w:rFonts w:cs="Arial"/>
          <w:i/>
          <w:color w:val="000000" w:themeColor="text1"/>
          <w:sz w:val="22"/>
          <w:szCs w:val="22"/>
        </w:rPr>
      </w:pPr>
    </w:p>
    <w:p w14:paraId="658E8734" w14:textId="0C1A8335" w:rsidR="12141164" w:rsidRDefault="4A78E514" w:rsidP="12141164">
      <w:pPr>
        <w:jc w:val="both"/>
        <w:rPr>
          <w:rFonts w:cs="Arial"/>
          <w:color w:val="000000" w:themeColor="text1"/>
          <w:sz w:val="22"/>
          <w:szCs w:val="22"/>
          <w:highlight w:val="yellow"/>
        </w:rPr>
      </w:pPr>
      <w:r w:rsidRPr="00ED0E53">
        <w:rPr>
          <w:rFonts w:cs="Arial"/>
          <w:color w:val="000000" w:themeColor="text1"/>
          <w:sz w:val="22"/>
          <w:szCs w:val="22"/>
        </w:rPr>
        <w:t xml:space="preserve">Aboriginal and Torres Strait Islander peoples experience a disproportionately high </w:t>
      </w:r>
      <w:r w:rsidR="33C16FC9" w:rsidRPr="00ED0E53">
        <w:rPr>
          <w:rFonts w:cs="Arial"/>
          <w:color w:val="000000" w:themeColor="text1"/>
          <w:sz w:val="22"/>
          <w:szCs w:val="22"/>
        </w:rPr>
        <w:t>prevalence</w:t>
      </w:r>
      <w:r w:rsidRPr="00ED0E53">
        <w:rPr>
          <w:rFonts w:cs="Arial"/>
          <w:color w:val="000000" w:themeColor="text1"/>
          <w:sz w:val="22"/>
          <w:szCs w:val="22"/>
        </w:rPr>
        <w:t xml:space="preserve"> of BBV and STI compared to non-</w:t>
      </w:r>
      <w:r w:rsidR="50844BE2" w:rsidRPr="00ED0E53">
        <w:rPr>
          <w:rFonts w:cs="Arial"/>
          <w:color w:val="000000" w:themeColor="text1"/>
          <w:sz w:val="22"/>
          <w:szCs w:val="22"/>
        </w:rPr>
        <w:t>Indigenous</w:t>
      </w:r>
      <w:r w:rsidRPr="00ED0E53">
        <w:rPr>
          <w:rFonts w:cs="Arial"/>
          <w:color w:val="000000" w:themeColor="text1"/>
          <w:sz w:val="22"/>
          <w:szCs w:val="22"/>
        </w:rPr>
        <w:t xml:space="preserve"> </w:t>
      </w:r>
      <w:r w:rsidR="5FBFE932" w:rsidRPr="00ED0E53">
        <w:rPr>
          <w:rFonts w:cs="Arial"/>
          <w:color w:val="000000" w:themeColor="text1"/>
          <w:sz w:val="22"/>
          <w:szCs w:val="22"/>
        </w:rPr>
        <w:t>Australians</w:t>
      </w:r>
      <w:r w:rsidRPr="00ED0E53">
        <w:rPr>
          <w:rFonts w:cs="Arial"/>
          <w:color w:val="000000" w:themeColor="text1"/>
          <w:sz w:val="22"/>
          <w:szCs w:val="22"/>
        </w:rPr>
        <w:t xml:space="preserve">. </w:t>
      </w:r>
      <w:r w:rsidR="33A08EDE" w:rsidRPr="00ED0E53">
        <w:rPr>
          <w:rFonts w:cs="Arial"/>
          <w:color w:val="000000" w:themeColor="text1"/>
          <w:sz w:val="22"/>
          <w:szCs w:val="22"/>
        </w:rPr>
        <w:t xml:space="preserve">Aboriginal Community Controlled Health Organisations (ACCHOs) and </w:t>
      </w:r>
      <w:r w:rsidR="1832ACA8" w:rsidRPr="00ED0E53">
        <w:rPr>
          <w:rFonts w:cs="Arial"/>
          <w:color w:val="000000" w:themeColor="text1"/>
          <w:sz w:val="22"/>
          <w:szCs w:val="22"/>
        </w:rPr>
        <w:t>Aboriginal</w:t>
      </w:r>
      <w:r w:rsidR="33A08EDE" w:rsidRPr="00ED0E53">
        <w:rPr>
          <w:rFonts w:cs="Arial"/>
          <w:color w:val="000000" w:themeColor="text1"/>
          <w:sz w:val="22"/>
          <w:szCs w:val="22"/>
        </w:rPr>
        <w:t xml:space="preserve"> Medical Services are uniquely positioned to </w:t>
      </w:r>
      <w:r w:rsidR="2D2B78A0" w:rsidRPr="00ED0E53">
        <w:rPr>
          <w:rFonts w:cs="Arial"/>
          <w:color w:val="000000" w:themeColor="text1"/>
          <w:sz w:val="22"/>
          <w:szCs w:val="22"/>
        </w:rPr>
        <w:t xml:space="preserve">deliver high </w:t>
      </w:r>
      <w:r w:rsidR="23C02273" w:rsidRPr="00ED0E53">
        <w:rPr>
          <w:rFonts w:cs="Arial"/>
          <w:color w:val="000000" w:themeColor="text1"/>
          <w:sz w:val="22"/>
          <w:szCs w:val="22"/>
        </w:rPr>
        <w:t>quality</w:t>
      </w:r>
      <w:r w:rsidR="2D2B78A0" w:rsidRPr="00ED0E53">
        <w:rPr>
          <w:rFonts w:cs="Arial"/>
          <w:color w:val="000000" w:themeColor="text1"/>
          <w:sz w:val="22"/>
          <w:szCs w:val="22"/>
        </w:rPr>
        <w:t xml:space="preserve"> services to meet the needs of </w:t>
      </w:r>
      <w:r w:rsidR="1C0B52FC" w:rsidRPr="00ED0E53">
        <w:rPr>
          <w:rFonts w:cs="Arial"/>
          <w:color w:val="000000" w:themeColor="text1"/>
          <w:sz w:val="22"/>
          <w:szCs w:val="22"/>
        </w:rPr>
        <w:t>Aboriginal</w:t>
      </w:r>
      <w:r w:rsidR="2D2B78A0" w:rsidRPr="00ED0E53">
        <w:rPr>
          <w:rFonts w:cs="Arial"/>
          <w:color w:val="000000" w:themeColor="text1"/>
          <w:sz w:val="22"/>
          <w:szCs w:val="22"/>
        </w:rPr>
        <w:t xml:space="preserve"> and </w:t>
      </w:r>
      <w:r w:rsidR="1A0AF612" w:rsidRPr="00ED0E53">
        <w:rPr>
          <w:rFonts w:cs="Arial"/>
          <w:color w:val="000000" w:themeColor="text1"/>
          <w:sz w:val="22"/>
          <w:szCs w:val="22"/>
        </w:rPr>
        <w:t>Torres</w:t>
      </w:r>
      <w:r w:rsidR="2D2B78A0" w:rsidRPr="00ED0E53">
        <w:rPr>
          <w:rFonts w:cs="Arial"/>
          <w:color w:val="000000" w:themeColor="text1"/>
          <w:sz w:val="22"/>
          <w:szCs w:val="22"/>
        </w:rPr>
        <w:t xml:space="preserve"> Strait Islanders across the country. </w:t>
      </w:r>
      <w:r w:rsidR="6DB5F0EC" w:rsidRPr="00ED0E53">
        <w:rPr>
          <w:rFonts w:cs="Arial"/>
          <w:color w:val="000000" w:themeColor="text1"/>
          <w:sz w:val="22"/>
          <w:szCs w:val="22"/>
        </w:rPr>
        <w:t xml:space="preserve">These services </w:t>
      </w:r>
      <w:r w:rsidR="38E8A72B" w:rsidRPr="00ED0E53">
        <w:rPr>
          <w:rFonts w:cs="Arial"/>
          <w:color w:val="000000" w:themeColor="text1"/>
          <w:sz w:val="22"/>
          <w:szCs w:val="22"/>
        </w:rPr>
        <w:t xml:space="preserve">provide culturally sensitive </w:t>
      </w:r>
      <w:r w:rsidR="535D7758" w:rsidRPr="00ED0E53">
        <w:rPr>
          <w:rFonts w:cs="Arial"/>
          <w:color w:val="000000" w:themeColor="text1"/>
          <w:sz w:val="22"/>
          <w:szCs w:val="22"/>
        </w:rPr>
        <w:t>integrated</w:t>
      </w:r>
      <w:r w:rsidR="38E8A72B" w:rsidRPr="00ED0E53">
        <w:rPr>
          <w:rFonts w:cs="Arial"/>
          <w:color w:val="000000" w:themeColor="text1"/>
          <w:sz w:val="22"/>
          <w:szCs w:val="22"/>
        </w:rPr>
        <w:t xml:space="preserve"> person-centred care </w:t>
      </w:r>
      <w:r w:rsidR="31CF66AE" w:rsidRPr="00ED0E53">
        <w:rPr>
          <w:rFonts w:cs="Arial"/>
          <w:color w:val="000000" w:themeColor="text1"/>
          <w:sz w:val="22"/>
          <w:szCs w:val="22"/>
        </w:rPr>
        <w:t xml:space="preserve">and are </w:t>
      </w:r>
      <w:r w:rsidR="0980B69A" w:rsidRPr="00ED0E53">
        <w:rPr>
          <w:rFonts w:cs="Arial"/>
          <w:color w:val="000000" w:themeColor="text1"/>
          <w:sz w:val="22"/>
          <w:szCs w:val="22"/>
        </w:rPr>
        <w:t xml:space="preserve">form </w:t>
      </w:r>
      <w:r w:rsidR="31CF66AE" w:rsidRPr="00ED0E53">
        <w:rPr>
          <w:rFonts w:cs="Arial"/>
          <w:color w:val="000000" w:themeColor="text1"/>
          <w:sz w:val="22"/>
          <w:szCs w:val="22"/>
        </w:rPr>
        <w:t>critical enablers to achieve the four Priority Reforms</w:t>
      </w:r>
      <w:r w:rsidR="656C5BF1" w:rsidRPr="00ED0E53">
        <w:rPr>
          <w:rFonts w:cs="Arial"/>
          <w:color w:val="000000" w:themeColor="text1"/>
          <w:sz w:val="22"/>
          <w:szCs w:val="22"/>
        </w:rPr>
        <w:t xml:space="preserve"> of the National Agreement on Closing the Gap</w:t>
      </w:r>
      <w:r w:rsidR="6638B5B4" w:rsidRPr="00ED0E53">
        <w:rPr>
          <w:rFonts w:cs="Arial"/>
          <w:color w:val="000000" w:themeColor="text1"/>
          <w:sz w:val="22"/>
          <w:szCs w:val="22"/>
        </w:rPr>
        <w:t xml:space="preserve"> – </w:t>
      </w:r>
      <w:r w:rsidR="656C5BF1" w:rsidRPr="00ED0E53">
        <w:rPr>
          <w:rFonts w:cs="Arial"/>
          <w:color w:val="000000" w:themeColor="text1"/>
          <w:sz w:val="22"/>
          <w:szCs w:val="22"/>
        </w:rPr>
        <w:t>the</w:t>
      </w:r>
      <w:r w:rsidR="31CF66AE" w:rsidRPr="00ED0E53">
        <w:rPr>
          <w:rFonts w:cs="Arial"/>
          <w:color w:val="000000" w:themeColor="text1"/>
          <w:sz w:val="22"/>
          <w:szCs w:val="22"/>
        </w:rPr>
        <w:t xml:space="preserve"> </w:t>
      </w:r>
      <w:r w:rsidR="6638B5B4" w:rsidRPr="00ED0E53">
        <w:rPr>
          <w:rFonts w:cs="Arial"/>
          <w:color w:val="000000" w:themeColor="text1"/>
          <w:sz w:val="22"/>
          <w:szCs w:val="22"/>
        </w:rPr>
        <w:t>objective of which is to overcome inequality experienced by Aboriginal and Torres Strait Islander people and achieve life outcomes equal to al</w:t>
      </w:r>
      <w:r w:rsidR="3888B7BA" w:rsidRPr="00ED0E53">
        <w:rPr>
          <w:rFonts w:cs="Arial"/>
          <w:color w:val="000000" w:themeColor="text1"/>
          <w:sz w:val="22"/>
          <w:szCs w:val="22"/>
        </w:rPr>
        <w:t>l</w:t>
      </w:r>
      <w:r w:rsidR="6638B5B4" w:rsidRPr="00ED0E53">
        <w:rPr>
          <w:rFonts w:cs="Arial"/>
          <w:color w:val="000000" w:themeColor="text1"/>
          <w:sz w:val="22"/>
          <w:szCs w:val="22"/>
        </w:rPr>
        <w:t xml:space="preserve"> Australians</w:t>
      </w:r>
      <w:r w:rsidR="0034529B" w:rsidRPr="00ED0E53">
        <w:rPr>
          <w:rFonts w:cs="Arial"/>
          <w:color w:val="000000" w:themeColor="text1"/>
          <w:sz w:val="22"/>
          <w:szCs w:val="22"/>
        </w:rPr>
        <w:t>.</w:t>
      </w:r>
      <w:r w:rsidR="008B43F1">
        <w:rPr>
          <w:rFonts w:ascii="ZWAdobeF" w:hAnsi="ZWAdobeF" w:cs="ZWAdobeF"/>
          <w:sz w:val="2"/>
          <w:szCs w:val="2"/>
        </w:rPr>
        <w:t>103F</w:t>
      </w:r>
      <w:r w:rsidR="0034529B" w:rsidRPr="00ED0E53">
        <w:rPr>
          <w:rStyle w:val="EndnoteReference"/>
          <w:rFonts w:cs="Arial"/>
          <w:color w:val="000000" w:themeColor="text1"/>
          <w:sz w:val="22"/>
          <w:szCs w:val="22"/>
        </w:rPr>
        <w:endnoteReference w:id="103"/>
      </w:r>
    </w:p>
    <w:p w14:paraId="2B13E960" w14:textId="77777777" w:rsidR="00031E79" w:rsidRPr="00442D9E" w:rsidRDefault="00031E79" w:rsidP="00AE3D53">
      <w:pPr>
        <w:jc w:val="both"/>
        <w:rPr>
          <w:rFonts w:cs="Arial"/>
          <w:color w:val="000000" w:themeColor="text1"/>
          <w:sz w:val="22"/>
          <w:szCs w:val="22"/>
        </w:rPr>
      </w:pPr>
    </w:p>
    <w:p w14:paraId="2F44E35D" w14:textId="57C6CCD0" w:rsidR="00DF4F3E" w:rsidRPr="00DF4F3E" w:rsidRDefault="00DF4F3E" w:rsidP="00DF4F3E">
      <w:pPr>
        <w:jc w:val="both"/>
        <w:rPr>
          <w:rFonts w:cs="Arial"/>
          <w:i/>
          <w:color w:val="000000" w:themeColor="text1"/>
          <w:sz w:val="22"/>
          <w:szCs w:val="22"/>
        </w:rPr>
      </w:pPr>
      <w:r w:rsidRPr="00DF4F3E">
        <w:rPr>
          <w:rFonts w:cs="Arial"/>
          <w:i/>
          <w:color w:val="000000" w:themeColor="text1"/>
          <w:sz w:val="22"/>
          <w:szCs w:val="22"/>
        </w:rPr>
        <w:t xml:space="preserve">Community/Peer led organisations of/by Sex Workers </w:t>
      </w:r>
    </w:p>
    <w:p w14:paraId="4B834F28" w14:textId="77777777" w:rsidR="00A31D55" w:rsidRPr="00442D9E" w:rsidRDefault="00A31D55" w:rsidP="00AE3D53">
      <w:pPr>
        <w:jc w:val="both"/>
        <w:rPr>
          <w:rFonts w:cs="Arial"/>
          <w:i/>
          <w:color w:val="000000" w:themeColor="text1"/>
          <w:sz w:val="22"/>
          <w:szCs w:val="22"/>
        </w:rPr>
      </w:pPr>
    </w:p>
    <w:p w14:paraId="7CF8DA47" w14:textId="16F42FAB" w:rsidR="00031E79" w:rsidRPr="00442D9E" w:rsidRDefault="00031E79" w:rsidP="00AE3D53">
      <w:pPr>
        <w:jc w:val="both"/>
        <w:rPr>
          <w:rFonts w:cs="Arial"/>
          <w:color w:val="000000" w:themeColor="text1"/>
          <w:sz w:val="22"/>
          <w:szCs w:val="22"/>
        </w:rPr>
      </w:pPr>
      <w:r w:rsidRPr="00442D9E">
        <w:rPr>
          <w:rFonts w:cs="Arial"/>
          <w:color w:val="000000" w:themeColor="text1"/>
          <w:sz w:val="22"/>
          <w:szCs w:val="22"/>
        </w:rPr>
        <w:lastRenderedPageBreak/>
        <w:t>Peer education through peer-based sex worker organisations is essential for promoting prevention, testing and treatment for sex workers. Within this population, tailored approaches for sex worker sub-</w:t>
      </w:r>
      <w:r w:rsidR="00035375" w:rsidRPr="00442D9E">
        <w:rPr>
          <w:rFonts w:cs="Arial"/>
          <w:color w:val="000000" w:themeColor="text1"/>
          <w:sz w:val="22"/>
          <w:szCs w:val="22"/>
        </w:rPr>
        <w:t>populations</w:t>
      </w:r>
      <w:r w:rsidR="00035375">
        <w:rPr>
          <w:rFonts w:cs="Arial"/>
          <w:color w:val="000000" w:themeColor="text1"/>
          <w:sz w:val="22"/>
          <w:szCs w:val="22"/>
        </w:rPr>
        <w:t>,</w:t>
      </w:r>
      <w:r w:rsidR="00035375" w:rsidRPr="00442D9E">
        <w:rPr>
          <w:rFonts w:cs="Arial"/>
          <w:color w:val="000000" w:themeColor="text1"/>
          <w:sz w:val="22"/>
          <w:szCs w:val="22"/>
        </w:rPr>
        <w:t xml:space="preserve"> including</w:t>
      </w:r>
      <w:r w:rsidRPr="00442D9E">
        <w:rPr>
          <w:rFonts w:cs="Arial"/>
          <w:color w:val="000000" w:themeColor="text1"/>
          <w:sz w:val="22"/>
          <w:szCs w:val="22"/>
        </w:rPr>
        <w:t xml:space="preserve"> migrant and </w:t>
      </w:r>
      <w:r w:rsidR="009E5590" w:rsidRPr="009E5590">
        <w:rPr>
          <w:rFonts w:cs="Arial"/>
          <w:color w:val="000000" w:themeColor="text1"/>
          <w:sz w:val="22"/>
          <w:szCs w:val="22"/>
        </w:rPr>
        <w:t>Aboriginal and Torres Strait</w:t>
      </w:r>
      <w:r w:rsidR="004909B5">
        <w:rPr>
          <w:rFonts w:cs="Arial"/>
          <w:color w:val="000000" w:themeColor="text1"/>
          <w:sz w:val="22"/>
          <w:szCs w:val="22"/>
        </w:rPr>
        <w:t xml:space="preserve"> Islander</w:t>
      </w:r>
      <w:r w:rsidRPr="00442D9E">
        <w:rPr>
          <w:rFonts w:cs="Arial"/>
          <w:color w:val="000000" w:themeColor="text1"/>
          <w:sz w:val="22"/>
          <w:szCs w:val="22"/>
        </w:rPr>
        <w:t xml:space="preserve"> </w:t>
      </w:r>
      <w:r w:rsidR="004909B5">
        <w:rPr>
          <w:rFonts w:cs="Arial"/>
          <w:color w:val="000000" w:themeColor="text1"/>
          <w:sz w:val="22"/>
          <w:szCs w:val="22"/>
        </w:rPr>
        <w:t xml:space="preserve">sex </w:t>
      </w:r>
      <w:r w:rsidRPr="00442D9E">
        <w:rPr>
          <w:rFonts w:cs="Arial"/>
          <w:color w:val="000000" w:themeColor="text1"/>
          <w:sz w:val="22"/>
          <w:szCs w:val="22"/>
        </w:rPr>
        <w:t xml:space="preserve">workers, that address stigma and discrimination and the regulatory and legal barriers experienced by sex workers </w:t>
      </w:r>
      <w:r w:rsidR="00D36267">
        <w:rPr>
          <w:rFonts w:cs="Arial"/>
          <w:color w:val="000000" w:themeColor="text1"/>
          <w:sz w:val="22"/>
          <w:szCs w:val="22"/>
        </w:rPr>
        <w:t>is</w:t>
      </w:r>
      <w:r w:rsidRPr="00442D9E">
        <w:rPr>
          <w:rFonts w:cs="Arial"/>
          <w:color w:val="000000" w:themeColor="text1"/>
          <w:sz w:val="22"/>
          <w:szCs w:val="22"/>
        </w:rPr>
        <w:t xml:space="preserve"> required.</w:t>
      </w:r>
    </w:p>
    <w:p w14:paraId="570D2E9B" w14:textId="77777777" w:rsidR="00031E79" w:rsidRPr="00442D9E" w:rsidRDefault="00031E79" w:rsidP="00AE3D53">
      <w:pPr>
        <w:jc w:val="both"/>
        <w:rPr>
          <w:rFonts w:cs="Arial"/>
        </w:rPr>
      </w:pPr>
    </w:p>
    <w:p w14:paraId="64B2617C" w14:textId="7164E084" w:rsidR="00031E79" w:rsidRPr="00442D9E" w:rsidRDefault="00031E79" w:rsidP="00AE3D53">
      <w:pPr>
        <w:jc w:val="both"/>
        <w:rPr>
          <w:rFonts w:cs="Arial"/>
          <w:color w:val="000000" w:themeColor="text1"/>
          <w:sz w:val="22"/>
          <w:szCs w:val="22"/>
        </w:rPr>
      </w:pPr>
      <w:r w:rsidRPr="00442D9E">
        <w:rPr>
          <w:rFonts w:cs="Arial"/>
          <w:color w:val="000000" w:themeColor="text1"/>
          <w:sz w:val="22"/>
          <w:szCs w:val="22"/>
        </w:rPr>
        <w:t xml:space="preserve">Sex worker peer organisations are a priority setting through which sex workers can be reached in the national response. </w:t>
      </w:r>
      <w:bookmarkStart w:id="72" w:name="_Hlk126913781"/>
      <w:r w:rsidRPr="00442D9E">
        <w:rPr>
          <w:rFonts w:cs="Arial"/>
          <w:color w:val="000000" w:themeColor="text1"/>
          <w:sz w:val="22"/>
          <w:szCs w:val="22"/>
        </w:rPr>
        <w:t xml:space="preserve">Sex worker peer organisations </w:t>
      </w:r>
      <w:bookmarkEnd w:id="72"/>
      <w:r w:rsidRPr="00442D9E">
        <w:rPr>
          <w:rFonts w:cs="Arial"/>
          <w:color w:val="000000" w:themeColor="text1"/>
          <w:sz w:val="22"/>
          <w:szCs w:val="22"/>
        </w:rPr>
        <w:t>provide essential prevention education conducted by peers as well as critical linkages to testing treatment and ongoing management and care.</w:t>
      </w:r>
      <w:r>
        <w:br/>
      </w:r>
    </w:p>
    <w:p w14:paraId="7B158FFF" w14:textId="77777777" w:rsidR="00EE7925" w:rsidRDefault="00EE7925" w:rsidP="00EE7925">
      <w:pPr>
        <w:jc w:val="both"/>
        <w:rPr>
          <w:rFonts w:cs="Arial"/>
          <w:i/>
          <w:color w:val="000000" w:themeColor="text1"/>
          <w:sz w:val="22"/>
          <w:szCs w:val="22"/>
        </w:rPr>
      </w:pPr>
      <w:r w:rsidRPr="00EE7925">
        <w:rPr>
          <w:rFonts w:cs="Arial"/>
          <w:i/>
          <w:color w:val="000000" w:themeColor="text1"/>
          <w:sz w:val="22"/>
          <w:szCs w:val="22"/>
        </w:rPr>
        <w:t>Harm Reduction Programs</w:t>
      </w:r>
    </w:p>
    <w:p w14:paraId="4F459BC6" w14:textId="77777777" w:rsidR="00EE7925" w:rsidRPr="00EE7925" w:rsidRDefault="00EE7925" w:rsidP="00EE7925">
      <w:pPr>
        <w:jc w:val="both"/>
        <w:rPr>
          <w:rFonts w:cs="Arial"/>
          <w:i/>
          <w:color w:val="000000" w:themeColor="text1"/>
          <w:sz w:val="22"/>
          <w:szCs w:val="22"/>
        </w:rPr>
      </w:pPr>
    </w:p>
    <w:p w14:paraId="054234A2" w14:textId="6BEABE82" w:rsidR="00EE7925" w:rsidRPr="00EE7925" w:rsidRDefault="00EE7925" w:rsidP="00EE7925">
      <w:pPr>
        <w:jc w:val="both"/>
        <w:rPr>
          <w:rFonts w:cs="Arial"/>
          <w:iCs/>
          <w:color w:val="000000" w:themeColor="text1"/>
          <w:sz w:val="22"/>
          <w:szCs w:val="22"/>
        </w:rPr>
      </w:pPr>
      <w:r w:rsidRPr="00EE7925">
        <w:rPr>
          <w:rFonts w:cs="Arial"/>
          <w:iCs/>
          <w:color w:val="000000" w:themeColor="text1"/>
          <w:sz w:val="22"/>
          <w:szCs w:val="22"/>
        </w:rPr>
        <w:t>Harm reduction programs</w:t>
      </w:r>
      <w:r w:rsidR="00D36267">
        <w:rPr>
          <w:rFonts w:cs="Arial"/>
          <w:iCs/>
          <w:color w:val="000000" w:themeColor="text1"/>
          <w:sz w:val="22"/>
          <w:szCs w:val="22"/>
        </w:rPr>
        <w:t>,</w:t>
      </w:r>
      <w:r w:rsidRPr="00EE7925">
        <w:rPr>
          <w:rFonts w:cs="Arial"/>
          <w:iCs/>
          <w:color w:val="000000" w:themeColor="text1"/>
          <w:sz w:val="22"/>
          <w:szCs w:val="22"/>
        </w:rPr>
        <w:t xml:space="preserve"> such as needle and syringe programs (NSPs) and opioid substitution programs (OSPs)</w:t>
      </w:r>
      <w:r w:rsidR="00D36267">
        <w:rPr>
          <w:rFonts w:cs="Arial"/>
          <w:iCs/>
          <w:color w:val="000000" w:themeColor="text1"/>
          <w:sz w:val="22"/>
          <w:szCs w:val="22"/>
        </w:rPr>
        <w:t>,</w:t>
      </w:r>
      <w:r w:rsidRPr="00EE7925">
        <w:rPr>
          <w:rFonts w:cs="Arial"/>
          <w:iCs/>
          <w:color w:val="000000" w:themeColor="text1"/>
          <w:sz w:val="22"/>
          <w:szCs w:val="22"/>
        </w:rPr>
        <w:t xml:space="preserve"> are critical for prevention</w:t>
      </w:r>
      <w:r w:rsidR="00D36267">
        <w:rPr>
          <w:rFonts w:cs="Arial"/>
          <w:iCs/>
          <w:color w:val="000000" w:themeColor="text1"/>
          <w:sz w:val="22"/>
          <w:szCs w:val="22"/>
        </w:rPr>
        <w:t xml:space="preserve"> in</w:t>
      </w:r>
      <w:r w:rsidRPr="00EE7925">
        <w:rPr>
          <w:rFonts w:cs="Arial"/>
          <w:iCs/>
          <w:color w:val="000000" w:themeColor="text1"/>
          <w:sz w:val="22"/>
          <w:szCs w:val="22"/>
        </w:rPr>
        <w:t xml:space="preserve"> reduc</w:t>
      </w:r>
      <w:r w:rsidR="00D36267">
        <w:rPr>
          <w:rFonts w:cs="Arial"/>
          <w:iCs/>
          <w:color w:val="000000" w:themeColor="text1"/>
          <w:sz w:val="22"/>
          <w:szCs w:val="22"/>
        </w:rPr>
        <w:t>ing</w:t>
      </w:r>
      <w:r w:rsidRPr="00EE7925">
        <w:rPr>
          <w:rFonts w:cs="Arial"/>
          <w:iCs/>
          <w:color w:val="000000" w:themeColor="text1"/>
          <w:sz w:val="22"/>
          <w:szCs w:val="22"/>
        </w:rPr>
        <w:t xml:space="preserve"> injecting risk behaviours, and improv</w:t>
      </w:r>
      <w:r w:rsidR="00D36267">
        <w:rPr>
          <w:rFonts w:cs="Arial"/>
          <w:iCs/>
          <w:color w:val="000000" w:themeColor="text1"/>
          <w:sz w:val="22"/>
          <w:szCs w:val="22"/>
        </w:rPr>
        <w:t>ing</w:t>
      </w:r>
      <w:r w:rsidRPr="00EE7925">
        <w:rPr>
          <w:rFonts w:cs="Arial"/>
          <w:iCs/>
          <w:color w:val="000000" w:themeColor="text1"/>
          <w:sz w:val="22"/>
          <w:szCs w:val="22"/>
        </w:rPr>
        <w:t xml:space="preserve"> the lives of people who inject drugs. Harm reduction programs help to ensure that people who inject drugs have access to a range of supports including, sterile injecting equipment, medically prescribed, orally administered opiates as a replacement for illicit drugs, peer support, harm reduction education</w:t>
      </w:r>
      <w:r w:rsidR="009D5C0D">
        <w:rPr>
          <w:rFonts w:cs="Arial"/>
          <w:iCs/>
          <w:color w:val="000000" w:themeColor="text1"/>
          <w:sz w:val="22"/>
          <w:szCs w:val="22"/>
        </w:rPr>
        <w:t>,</w:t>
      </w:r>
      <w:r w:rsidRPr="00EE7925">
        <w:rPr>
          <w:rFonts w:cs="Arial"/>
          <w:iCs/>
          <w:color w:val="000000" w:themeColor="text1"/>
          <w:sz w:val="22"/>
          <w:szCs w:val="22"/>
        </w:rPr>
        <w:t xml:space="preserve"> and health promotion.</w:t>
      </w:r>
    </w:p>
    <w:p w14:paraId="34DF389E" w14:textId="77777777" w:rsidR="00A31D55" w:rsidRDefault="00A31D55" w:rsidP="00AE3D53">
      <w:pPr>
        <w:jc w:val="both"/>
        <w:rPr>
          <w:rFonts w:cs="Arial"/>
          <w:color w:val="000000" w:themeColor="text1"/>
          <w:sz w:val="22"/>
          <w:szCs w:val="22"/>
        </w:rPr>
      </w:pPr>
    </w:p>
    <w:p w14:paraId="53F5193D" w14:textId="00AC1A4A" w:rsidR="00343BE3" w:rsidRDefault="00343BE3" w:rsidP="00343BE3">
      <w:pPr>
        <w:jc w:val="both"/>
        <w:rPr>
          <w:rFonts w:cs="Arial"/>
          <w:i/>
          <w:color w:val="000000" w:themeColor="text1"/>
          <w:sz w:val="22"/>
          <w:szCs w:val="22"/>
        </w:rPr>
      </w:pPr>
      <w:r w:rsidRPr="00343BE3">
        <w:rPr>
          <w:rFonts w:cs="Arial"/>
          <w:i/>
          <w:color w:val="000000" w:themeColor="text1"/>
          <w:sz w:val="22"/>
          <w:szCs w:val="22"/>
        </w:rPr>
        <w:t>Community/Peer-led organisations led by people who use drugs</w:t>
      </w:r>
    </w:p>
    <w:p w14:paraId="624F6CB5" w14:textId="77777777" w:rsidR="00343BE3" w:rsidRPr="00343BE3" w:rsidRDefault="00343BE3" w:rsidP="00343BE3">
      <w:pPr>
        <w:jc w:val="both"/>
        <w:rPr>
          <w:rFonts w:cs="Arial"/>
          <w:i/>
          <w:color w:val="000000" w:themeColor="text1"/>
          <w:sz w:val="22"/>
          <w:szCs w:val="22"/>
        </w:rPr>
      </w:pPr>
    </w:p>
    <w:p w14:paraId="7CD60E80" w14:textId="65792A60" w:rsidR="00343BE3" w:rsidRPr="00343BE3" w:rsidRDefault="00343BE3" w:rsidP="00343BE3">
      <w:pPr>
        <w:jc w:val="both"/>
        <w:rPr>
          <w:rFonts w:cs="Arial"/>
          <w:iCs/>
          <w:color w:val="000000" w:themeColor="text1"/>
          <w:sz w:val="22"/>
          <w:szCs w:val="22"/>
        </w:rPr>
      </w:pPr>
      <w:r w:rsidRPr="00343BE3">
        <w:rPr>
          <w:rFonts w:cs="Arial"/>
          <w:iCs/>
          <w:color w:val="000000" w:themeColor="text1"/>
          <w:sz w:val="22"/>
          <w:szCs w:val="22"/>
        </w:rPr>
        <w:t>These organisations provide access to de-stigmatised</w:t>
      </w:r>
      <w:r w:rsidR="002B02CD">
        <w:rPr>
          <w:rFonts w:cs="Arial"/>
          <w:iCs/>
          <w:color w:val="000000" w:themeColor="text1"/>
          <w:sz w:val="22"/>
          <w:szCs w:val="22"/>
        </w:rPr>
        <w:t xml:space="preserve"> </w:t>
      </w:r>
      <w:r w:rsidRPr="00343BE3">
        <w:rPr>
          <w:rFonts w:cs="Arial"/>
          <w:iCs/>
          <w:color w:val="000000" w:themeColor="text1"/>
          <w:sz w:val="22"/>
          <w:szCs w:val="22"/>
        </w:rPr>
        <w:t>peer-based support, information, education, advocacy, harm reduction services</w:t>
      </w:r>
      <w:r w:rsidR="002B02CD">
        <w:rPr>
          <w:rFonts w:cs="Arial"/>
          <w:iCs/>
          <w:color w:val="000000" w:themeColor="text1"/>
          <w:sz w:val="22"/>
          <w:szCs w:val="22"/>
        </w:rPr>
        <w:t>,</w:t>
      </w:r>
      <w:r w:rsidRPr="00343BE3">
        <w:rPr>
          <w:rFonts w:cs="Arial"/>
          <w:iCs/>
          <w:color w:val="000000" w:themeColor="text1"/>
          <w:sz w:val="22"/>
          <w:szCs w:val="22"/>
        </w:rPr>
        <w:t xml:space="preserve"> and services which aim to reduce the transmission of hepatitis B and hepatitis C with drug use.</w:t>
      </w:r>
    </w:p>
    <w:p w14:paraId="62CDE1C3" w14:textId="77777777" w:rsidR="00A31D55" w:rsidRPr="00442D9E" w:rsidRDefault="00A31D55" w:rsidP="00AE3D53">
      <w:pPr>
        <w:jc w:val="both"/>
        <w:rPr>
          <w:rFonts w:cs="Arial"/>
          <w:color w:val="000000" w:themeColor="text1"/>
          <w:sz w:val="22"/>
          <w:szCs w:val="22"/>
        </w:rPr>
      </w:pPr>
    </w:p>
    <w:p w14:paraId="4B082D7F" w14:textId="47CC8A83" w:rsidR="00031E79" w:rsidRDefault="00031E79" w:rsidP="00AE3D53">
      <w:pPr>
        <w:jc w:val="both"/>
        <w:rPr>
          <w:rFonts w:cs="Arial"/>
          <w:i/>
          <w:color w:val="000000" w:themeColor="text1"/>
          <w:sz w:val="22"/>
          <w:szCs w:val="22"/>
        </w:rPr>
      </w:pPr>
      <w:r w:rsidRPr="00442D9E">
        <w:rPr>
          <w:rFonts w:cs="Arial"/>
          <w:i/>
          <w:color w:val="000000" w:themeColor="text1"/>
          <w:sz w:val="22"/>
          <w:szCs w:val="22"/>
        </w:rPr>
        <w:t xml:space="preserve">Other community-based health and social support settings </w:t>
      </w:r>
    </w:p>
    <w:p w14:paraId="0A854D49" w14:textId="77777777" w:rsidR="00A31D55" w:rsidRPr="00442D9E" w:rsidRDefault="00A31D55" w:rsidP="00AE3D53">
      <w:pPr>
        <w:jc w:val="both"/>
        <w:rPr>
          <w:rFonts w:cs="Arial"/>
          <w:i/>
          <w:color w:val="000000" w:themeColor="text1"/>
          <w:sz w:val="22"/>
          <w:szCs w:val="22"/>
        </w:rPr>
      </w:pPr>
    </w:p>
    <w:p w14:paraId="23AECD05" w14:textId="18BFFDE4" w:rsidR="00031E79" w:rsidRDefault="00031E79" w:rsidP="00AE3D53">
      <w:pPr>
        <w:jc w:val="both"/>
        <w:rPr>
          <w:rFonts w:cs="Arial"/>
        </w:rPr>
      </w:pPr>
      <w:r w:rsidRPr="00442D9E">
        <w:rPr>
          <w:rFonts w:cs="Arial"/>
          <w:color w:val="000000" w:themeColor="text1"/>
          <w:sz w:val="22"/>
          <w:szCs w:val="22"/>
        </w:rPr>
        <w:t>A</w:t>
      </w:r>
      <w:r w:rsidR="009D64CD" w:rsidRPr="00442D9E">
        <w:rPr>
          <w:rFonts w:cs="Arial"/>
          <w:color w:val="000000" w:themeColor="text1"/>
          <w:sz w:val="22"/>
          <w:szCs w:val="22"/>
        </w:rPr>
        <w:t xml:space="preserve">lcohol and </w:t>
      </w:r>
      <w:r w:rsidRPr="00442D9E">
        <w:rPr>
          <w:rFonts w:cs="Arial"/>
          <w:color w:val="000000" w:themeColor="text1"/>
          <w:sz w:val="22"/>
          <w:szCs w:val="22"/>
        </w:rPr>
        <w:t>O</w:t>
      </w:r>
      <w:r w:rsidR="00FB4AB4" w:rsidRPr="00442D9E">
        <w:rPr>
          <w:rFonts w:cs="Arial"/>
          <w:color w:val="000000" w:themeColor="text1"/>
          <w:sz w:val="22"/>
          <w:szCs w:val="22"/>
        </w:rPr>
        <w:t xml:space="preserve">ther </w:t>
      </w:r>
      <w:r w:rsidRPr="00442D9E">
        <w:rPr>
          <w:rFonts w:cs="Arial"/>
          <w:color w:val="000000" w:themeColor="text1"/>
          <w:sz w:val="22"/>
          <w:szCs w:val="22"/>
        </w:rPr>
        <w:t>D</w:t>
      </w:r>
      <w:r w:rsidR="00FB4AB4" w:rsidRPr="00442D9E">
        <w:rPr>
          <w:rFonts w:cs="Arial"/>
          <w:color w:val="000000" w:themeColor="text1"/>
          <w:sz w:val="22"/>
          <w:szCs w:val="22"/>
        </w:rPr>
        <w:t>rug (AOD)</w:t>
      </w:r>
      <w:r w:rsidRPr="00442D9E">
        <w:rPr>
          <w:rFonts w:cs="Arial"/>
          <w:color w:val="000000" w:themeColor="text1"/>
          <w:sz w:val="22"/>
          <w:szCs w:val="22"/>
        </w:rPr>
        <w:t xml:space="preserve"> services, mental health services, youth services, outreach services for people experiencing housing insecurity and community </w:t>
      </w:r>
      <w:r w:rsidR="00946A8C" w:rsidRPr="00442D9E">
        <w:rPr>
          <w:rFonts w:cs="Arial"/>
          <w:color w:val="000000" w:themeColor="text1"/>
          <w:sz w:val="22"/>
          <w:szCs w:val="22"/>
        </w:rPr>
        <w:t>pharmacies</w:t>
      </w:r>
      <w:r w:rsidR="00946A8C">
        <w:rPr>
          <w:rFonts w:cs="Arial"/>
          <w:color w:val="000000" w:themeColor="text1"/>
          <w:sz w:val="22"/>
          <w:szCs w:val="22"/>
        </w:rPr>
        <w:t>,</w:t>
      </w:r>
      <w:r w:rsidR="00946A8C" w:rsidRPr="00946A8C">
        <w:rPr>
          <w:rFonts w:ascii="Segoe UI" w:hAnsi="Segoe UI" w:cs="Segoe UI"/>
          <w:sz w:val="18"/>
          <w:szCs w:val="18"/>
        </w:rPr>
        <w:t xml:space="preserve"> </w:t>
      </w:r>
      <w:r w:rsidR="00946A8C" w:rsidRPr="00946A8C">
        <w:rPr>
          <w:rFonts w:cs="Arial"/>
          <w:color w:val="000000" w:themeColor="text1"/>
          <w:sz w:val="22"/>
          <w:szCs w:val="22"/>
        </w:rPr>
        <w:t xml:space="preserve">are all settings where there are opportunities for STI prevention </w:t>
      </w:r>
      <w:r w:rsidR="00946A8C">
        <w:rPr>
          <w:rFonts w:cs="Arial"/>
          <w:color w:val="000000" w:themeColor="text1"/>
          <w:sz w:val="22"/>
          <w:szCs w:val="22"/>
        </w:rPr>
        <w:t>and</w:t>
      </w:r>
      <w:r w:rsidR="00946A8C" w:rsidRPr="00946A8C">
        <w:rPr>
          <w:rFonts w:cs="Arial"/>
          <w:color w:val="000000" w:themeColor="text1"/>
          <w:sz w:val="22"/>
          <w:szCs w:val="22"/>
        </w:rPr>
        <w:t xml:space="preserve"> awareness</w:t>
      </w:r>
      <w:r w:rsidR="00734178" w:rsidRPr="00442D9E">
        <w:rPr>
          <w:rFonts w:cs="Arial"/>
        </w:rPr>
        <w:t>.</w:t>
      </w:r>
    </w:p>
    <w:p w14:paraId="0B64CD59" w14:textId="77777777" w:rsidR="00A57A49" w:rsidRPr="003F5976" w:rsidRDefault="00A57A49" w:rsidP="00AE3D53">
      <w:pPr>
        <w:jc w:val="both"/>
        <w:rPr>
          <w:rFonts w:cs="Arial"/>
          <w:sz w:val="22"/>
          <w:szCs w:val="22"/>
        </w:rPr>
      </w:pPr>
    </w:p>
    <w:p w14:paraId="5F755B72" w14:textId="13988C1D" w:rsidR="00A57A49" w:rsidRPr="003F5976" w:rsidRDefault="00A57A49" w:rsidP="00A57A49">
      <w:pPr>
        <w:jc w:val="both"/>
        <w:rPr>
          <w:rFonts w:cs="Arial"/>
          <w:i/>
          <w:sz w:val="22"/>
          <w:szCs w:val="22"/>
        </w:rPr>
      </w:pPr>
      <w:r w:rsidRPr="003F5976">
        <w:rPr>
          <w:rFonts w:cs="Arial"/>
          <w:i/>
          <w:sz w:val="22"/>
          <w:szCs w:val="22"/>
        </w:rPr>
        <w:t xml:space="preserve">Schools and educational settings (including out-of-school </w:t>
      </w:r>
      <w:r w:rsidRPr="003F5976">
        <w:rPr>
          <w:rFonts w:cs="Arial"/>
          <w:i/>
          <w:iCs/>
          <w:sz w:val="22"/>
          <w:szCs w:val="22"/>
        </w:rPr>
        <w:t>settings</w:t>
      </w:r>
      <w:r w:rsidRPr="003F5976">
        <w:rPr>
          <w:rFonts w:cs="Arial"/>
          <w:i/>
          <w:sz w:val="22"/>
          <w:szCs w:val="22"/>
        </w:rPr>
        <w:t>)</w:t>
      </w:r>
    </w:p>
    <w:p w14:paraId="56161FB7" w14:textId="77777777" w:rsidR="00A57A49" w:rsidRPr="003F5976" w:rsidRDefault="00A57A49" w:rsidP="00A57A49">
      <w:pPr>
        <w:jc w:val="both"/>
        <w:rPr>
          <w:rFonts w:cs="Arial"/>
          <w:i/>
          <w:sz w:val="22"/>
          <w:szCs w:val="22"/>
        </w:rPr>
      </w:pPr>
    </w:p>
    <w:p w14:paraId="34420260" w14:textId="279B63E9" w:rsidR="00A57A49" w:rsidRPr="003F5976" w:rsidRDefault="00A57A49" w:rsidP="00A57A49">
      <w:pPr>
        <w:jc w:val="both"/>
        <w:rPr>
          <w:rFonts w:cs="Arial"/>
          <w:sz w:val="22"/>
          <w:szCs w:val="22"/>
        </w:rPr>
      </w:pPr>
      <w:r w:rsidRPr="003F5976">
        <w:rPr>
          <w:rFonts w:cs="Arial"/>
          <w:sz w:val="22"/>
          <w:szCs w:val="22"/>
        </w:rPr>
        <w:t xml:space="preserve">Services covering primary, secondary and higher education play an important role in delivering inclusive and comprehensive STI prevention education programs to encourage safer sex practices, provide linkages to STI education and support services, and reduce the burden of STI in school-aged people. All schools and educational settings should provide STI education that is comprehensive and accurate, and that does not further entrench STI stigma. </w:t>
      </w:r>
    </w:p>
    <w:p w14:paraId="6DAB73E9" w14:textId="77777777" w:rsidR="00151F07" w:rsidRPr="00442D9E" w:rsidRDefault="00151F07" w:rsidP="00397CF0">
      <w:pPr>
        <w:pBdr>
          <w:top w:val="nil"/>
          <w:left w:val="nil"/>
          <w:bottom w:val="nil"/>
          <w:right w:val="nil"/>
          <w:between w:val="nil"/>
        </w:pBdr>
        <w:shd w:val="clear" w:color="auto" w:fill="FFFFFF"/>
        <w:jc w:val="both"/>
        <w:rPr>
          <w:rFonts w:cs="Arial"/>
          <w:b/>
          <w:bCs/>
          <w:color w:val="000000" w:themeColor="text1"/>
          <w:sz w:val="22"/>
          <w:szCs w:val="22"/>
        </w:rPr>
      </w:pPr>
    </w:p>
    <w:p w14:paraId="27D80ADB" w14:textId="77777777" w:rsidR="00031E79" w:rsidRPr="00442D9E" w:rsidRDefault="00031E79" w:rsidP="00B23116">
      <w:pPr>
        <w:pBdr>
          <w:top w:val="nil"/>
          <w:left w:val="nil"/>
          <w:bottom w:val="nil"/>
          <w:right w:val="nil"/>
          <w:between w:val="nil"/>
        </w:pBdr>
        <w:shd w:val="clear" w:color="auto" w:fill="FFFFFF"/>
        <w:jc w:val="both"/>
        <w:rPr>
          <w:rFonts w:cs="Arial"/>
          <w:b/>
          <w:bCs/>
          <w:color w:val="000000" w:themeColor="text1"/>
          <w:sz w:val="22"/>
          <w:szCs w:val="22"/>
        </w:rPr>
      </w:pPr>
      <w:r w:rsidRPr="00442D9E">
        <w:rPr>
          <w:rFonts w:cs="Arial"/>
          <w:b/>
          <w:bCs/>
          <w:color w:val="000000" w:themeColor="text1"/>
          <w:sz w:val="22"/>
          <w:szCs w:val="22"/>
        </w:rPr>
        <w:t xml:space="preserve">Primary and tertiary healthcare </w:t>
      </w:r>
    </w:p>
    <w:p w14:paraId="180C1BBA" w14:textId="45395239" w:rsidR="001B661A" w:rsidRDefault="002F4BB5" w:rsidP="001338B0">
      <w:p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442D9E">
        <w:rPr>
          <w:rFonts w:cs="Arial"/>
          <w:color w:val="000000" w:themeColor="text1"/>
          <w:sz w:val="22"/>
          <w:szCs w:val="22"/>
        </w:rPr>
        <w:t xml:space="preserve">rimary and tertiary care settings in which people affected by STI </w:t>
      </w:r>
      <w:r w:rsidR="009B2433">
        <w:rPr>
          <w:rFonts w:cs="Arial"/>
          <w:color w:val="000000" w:themeColor="text1"/>
          <w:sz w:val="22"/>
          <w:szCs w:val="22"/>
        </w:rPr>
        <w:t>may</w:t>
      </w:r>
      <w:r w:rsidR="00031E79" w:rsidRPr="00442D9E">
        <w:rPr>
          <w:rFonts w:cs="Arial"/>
          <w:color w:val="000000" w:themeColor="text1"/>
          <w:sz w:val="22"/>
          <w:szCs w:val="22"/>
        </w:rPr>
        <w:t xml:space="preserve"> access healthcare</w:t>
      </w:r>
      <w:r>
        <w:rPr>
          <w:rFonts w:cs="Arial"/>
          <w:color w:val="000000" w:themeColor="text1"/>
          <w:sz w:val="22"/>
          <w:szCs w:val="22"/>
        </w:rPr>
        <w:t>, are critical entryways for priority populations to receive adequate care, and can</w:t>
      </w:r>
      <w:r w:rsidR="00031E79" w:rsidRPr="00442D9E">
        <w:rPr>
          <w:rFonts w:cs="Arial"/>
          <w:color w:val="000000" w:themeColor="text1"/>
          <w:sz w:val="22"/>
          <w:szCs w:val="22"/>
        </w:rPr>
        <w:t xml:space="preserve"> include</w:t>
      </w:r>
      <w:r w:rsidR="001B661A">
        <w:rPr>
          <w:rFonts w:cs="Arial"/>
          <w:color w:val="000000" w:themeColor="text1"/>
          <w:sz w:val="22"/>
          <w:szCs w:val="22"/>
        </w:rPr>
        <w:t>:</w:t>
      </w:r>
      <w:r w:rsidR="00031E79" w:rsidRPr="00442D9E">
        <w:rPr>
          <w:rFonts w:cs="Arial"/>
          <w:color w:val="000000" w:themeColor="text1"/>
          <w:sz w:val="22"/>
          <w:szCs w:val="22"/>
        </w:rPr>
        <w:t xml:space="preserve"> </w:t>
      </w:r>
    </w:p>
    <w:p w14:paraId="5C7214B6" w14:textId="77777777" w:rsidR="004A62F7" w:rsidRDefault="004A62F7" w:rsidP="001338B0">
      <w:pPr>
        <w:pBdr>
          <w:top w:val="nil"/>
          <w:left w:val="nil"/>
          <w:bottom w:val="nil"/>
          <w:right w:val="nil"/>
          <w:between w:val="nil"/>
        </w:pBdr>
        <w:shd w:val="clear" w:color="auto" w:fill="FFFFFF"/>
        <w:jc w:val="both"/>
        <w:rPr>
          <w:rFonts w:cs="Arial"/>
          <w:color w:val="000000" w:themeColor="text1"/>
          <w:sz w:val="22"/>
          <w:szCs w:val="22"/>
        </w:rPr>
      </w:pPr>
    </w:p>
    <w:p w14:paraId="3C52C315" w14:textId="78BA7F39" w:rsidR="0052201E" w:rsidRPr="00E72880"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S</w:t>
      </w:r>
      <w:r w:rsidR="00031E79" w:rsidRPr="00E72880">
        <w:rPr>
          <w:rFonts w:cs="Arial"/>
          <w:color w:val="000000" w:themeColor="text1"/>
          <w:sz w:val="22"/>
          <w:szCs w:val="22"/>
        </w:rPr>
        <w:t>exual health, reproductive health and family planning services, (such as antenatal and post</w:t>
      </w:r>
      <w:r w:rsidR="00734178" w:rsidRPr="00E72880">
        <w:rPr>
          <w:rFonts w:cs="Arial"/>
          <w:color w:val="000000" w:themeColor="text1"/>
          <w:sz w:val="22"/>
          <w:szCs w:val="22"/>
        </w:rPr>
        <w:t>-</w:t>
      </w:r>
      <w:r w:rsidR="00031E79" w:rsidRPr="00E72880">
        <w:rPr>
          <w:rFonts w:cs="Arial"/>
          <w:color w:val="000000" w:themeColor="text1"/>
          <w:sz w:val="22"/>
          <w:szCs w:val="22"/>
        </w:rPr>
        <w:t>natal obstetric services fertility services, including contraception, abortion</w:t>
      </w:r>
      <w:r w:rsidR="00EF627E" w:rsidRPr="00E72880">
        <w:rPr>
          <w:rFonts w:cs="Arial"/>
          <w:color w:val="000000" w:themeColor="text1"/>
          <w:sz w:val="22"/>
          <w:szCs w:val="22"/>
        </w:rPr>
        <w:t>,</w:t>
      </w:r>
      <w:r w:rsidR="00031E79" w:rsidRPr="00E72880">
        <w:rPr>
          <w:rFonts w:cs="Arial"/>
          <w:color w:val="000000" w:themeColor="text1"/>
          <w:sz w:val="22"/>
          <w:szCs w:val="22"/>
        </w:rPr>
        <w:t xml:space="preserve"> and assisted reproduction services)  </w:t>
      </w:r>
    </w:p>
    <w:p w14:paraId="5E53AAB6" w14:textId="25AF98A2" w:rsidR="009B1E5F"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M</w:t>
      </w:r>
      <w:r w:rsidR="00031E79" w:rsidRPr="00E72880">
        <w:rPr>
          <w:rFonts w:cs="Arial"/>
          <w:color w:val="000000" w:themeColor="text1"/>
          <w:sz w:val="22"/>
          <w:szCs w:val="22"/>
        </w:rPr>
        <w:t>aternal and child health</w:t>
      </w:r>
    </w:p>
    <w:p w14:paraId="4EA572EB" w14:textId="5B221974" w:rsidR="009B1E5F"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E72880">
        <w:rPr>
          <w:rFonts w:cs="Arial"/>
          <w:color w:val="000000" w:themeColor="text1"/>
          <w:sz w:val="22"/>
          <w:szCs w:val="22"/>
        </w:rPr>
        <w:t>rimary health and AOD</w:t>
      </w:r>
    </w:p>
    <w:p w14:paraId="18B0BFA9" w14:textId="5AB66B0A" w:rsidR="009B1E5F"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B</w:t>
      </w:r>
      <w:r w:rsidR="00031E79" w:rsidRPr="00E72880">
        <w:rPr>
          <w:rFonts w:cs="Arial"/>
          <w:color w:val="000000" w:themeColor="text1"/>
          <w:sz w:val="22"/>
          <w:szCs w:val="22"/>
        </w:rPr>
        <w:t>ilingual and bicultural healthcare providers</w:t>
      </w:r>
    </w:p>
    <w:p w14:paraId="7889C768" w14:textId="4D457A4C" w:rsidR="009B1E5F"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A</w:t>
      </w:r>
      <w:r w:rsidR="00031E79" w:rsidRPr="00E72880">
        <w:rPr>
          <w:rFonts w:cs="Arial"/>
          <w:color w:val="000000" w:themeColor="text1"/>
          <w:sz w:val="22"/>
          <w:szCs w:val="22"/>
        </w:rPr>
        <w:t>boriginal community-controlled health organisations</w:t>
      </w:r>
    </w:p>
    <w:p w14:paraId="7403DE65" w14:textId="0C02D923" w:rsidR="009B1E5F"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E</w:t>
      </w:r>
      <w:r w:rsidR="00031E79" w:rsidRPr="00E72880">
        <w:rPr>
          <w:rFonts w:cs="Arial"/>
          <w:color w:val="000000" w:themeColor="text1"/>
          <w:sz w:val="22"/>
          <w:szCs w:val="22"/>
        </w:rPr>
        <w:t>mergency departments</w:t>
      </w:r>
    </w:p>
    <w:p w14:paraId="12CECF3F" w14:textId="0BE4DE3B" w:rsidR="009B1E5F" w:rsidRDefault="00031E79"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sidRPr="00E72880">
        <w:rPr>
          <w:rFonts w:cs="Arial"/>
          <w:color w:val="000000" w:themeColor="text1"/>
          <w:sz w:val="22"/>
          <w:szCs w:val="22"/>
        </w:rPr>
        <w:t>HIV services</w:t>
      </w:r>
    </w:p>
    <w:p w14:paraId="656C23EF" w14:textId="111C582C" w:rsidR="009B1E5F"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C</w:t>
      </w:r>
      <w:r w:rsidR="00031E79" w:rsidRPr="00E72880">
        <w:rPr>
          <w:rFonts w:cs="Arial"/>
          <w:color w:val="000000" w:themeColor="text1"/>
          <w:sz w:val="22"/>
          <w:szCs w:val="22"/>
        </w:rPr>
        <w:t xml:space="preserve">ancer services </w:t>
      </w:r>
    </w:p>
    <w:p w14:paraId="5E1C8ECC" w14:textId="53F46699" w:rsidR="009B1E5F"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E72880">
        <w:rPr>
          <w:rFonts w:cs="Arial"/>
          <w:color w:val="000000" w:themeColor="text1"/>
          <w:sz w:val="22"/>
          <w:szCs w:val="22"/>
        </w:rPr>
        <w:t xml:space="preserve">alliative care </w:t>
      </w:r>
    </w:p>
    <w:p w14:paraId="6FF5D47E" w14:textId="3A5CC778" w:rsidR="00975610"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G</w:t>
      </w:r>
      <w:r w:rsidR="00031E79" w:rsidRPr="00E72880">
        <w:rPr>
          <w:rFonts w:cs="Arial"/>
          <w:color w:val="000000" w:themeColor="text1"/>
          <w:sz w:val="22"/>
          <w:szCs w:val="22"/>
        </w:rPr>
        <w:t xml:space="preserve">enitourinary services </w:t>
      </w:r>
    </w:p>
    <w:p w14:paraId="3147332C" w14:textId="7DA58409" w:rsidR="00975610"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lastRenderedPageBreak/>
        <w:t>N</w:t>
      </w:r>
      <w:r w:rsidR="00031E79" w:rsidRPr="00ED0E53">
        <w:rPr>
          <w:rFonts w:cs="Arial"/>
          <w:color w:val="000000" w:themeColor="text1"/>
          <w:sz w:val="22"/>
          <w:szCs w:val="22"/>
        </w:rPr>
        <w:t xml:space="preserve">eurologic </w:t>
      </w:r>
      <w:r w:rsidR="00BF5184" w:rsidRPr="00237439">
        <w:rPr>
          <w:rFonts w:cs="Arial"/>
          <w:color w:val="000000" w:themeColor="text1"/>
          <w:sz w:val="22"/>
          <w:szCs w:val="22"/>
        </w:rPr>
        <w:t>and disability</w:t>
      </w:r>
      <w:r w:rsidR="00BF5184">
        <w:rPr>
          <w:rFonts w:cs="Arial"/>
          <w:color w:val="000000" w:themeColor="text1"/>
          <w:sz w:val="22"/>
          <w:szCs w:val="22"/>
        </w:rPr>
        <w:t xml:space="preserve"> </w:t>
      </w:r>
      <w:r w:rsidR="00031E79" w:rsidRPr="00ED0E53">
        <w:rPr>
          <w:rFonts w:cs="Arial"/>
          <w:color w:val="000000" w:themeColor="text1"/>
          <w:sz w:val="22"/>
          <w:szCs w:val="22"/>
        </w:rPr>
        <w:t xml:space="preserve">services </w:t>
      </w:r>
      <w:r w:rsidR="00031E79" w:rsidRPr="00E72880">
        <w:rPr>
          <w:rFonts w:cs="Arial"/>
          <w:color w:val="000000" w:themeColor="text1"/>
          <w:sz w:val="22"/>
          <w:szCs w:val="22"/>
        </w:rPr>
        <w:t>(for deafness</w:t>
      </w:r>
      <w:r>
        <w:rPr>
          <w:rFonts w:cs="Arial"/>
          <w:color w:val="000000" w:themeColor="text1"/>
          <w:sz w:val="22"/>
          <w:szCs w:val="22"/>
        </w:rPr>
        <w:t>,</w:t>
      </w:r>
      <w:r w:rsidR="00031E79" w:rsidRPr="00E72880">
        <w:rPr>
          <w:rFonts w:cs="Arial"/>
          <w:color w:val="000000" w:themeColor="text1"/>
          <w:sz w:val="22"/>
          <w:szCs w:val="22"/>
        </w:rPr>
        <w:t xml:space="preserve"> blindness</w:t>
      </w:r>
      <w:r>
        <w:rPr>
          <w:rFonts w:cs="Arial"/>
          <w:color w:val="000000" w:themeColor="text1"/>
          <w:sz w:val="22"/>
          <w:szCs w:val="22"/>
        </w:rPr>
        <w:t>,</w:t>
      </w:r>
      <w:r w:rsidRPr="00F87441">
        <w:rPr>
          <w:rFonts w:cs="Arial"/>
          <w:color w:val="000000" w:themeColor="text1"/>
          <w:sz w:val="22"/>
          <w:szCs w:val="22"/>
        </w:rPr>
        <w:t xml:space="preserve"> </w:t>
      </w:r>
      <w:r w:rsidRPr="00F32743">
        <w:rPr>
          <w:rFonts w:cs="Arial"/>
          <w:color w:val="000000" w:themeColor="text1"/>
          <w:sz w:val="22"/>
          <w:szCs w:val="22"/>
        </w:rPr>
        <w:t xml:space="preserve">congenital defects and severe </w:t>
      </w:r>
      <w:r w:rsidR="00755442" w:rsidRPr="00F32743">
        <w:rPr>
          <w:rFonts w:cs="Arial"/>
          <w:color w:val="000000" w:themeColor="text1"/>
          <w:sz w:val="22"/>
          <w:szCs w:val="22"/>
        </w:rPr>
        <w:t>long-term</w:t>
      </w:r>
      <w:r w:rsidRPr="00F32743">
        <w:rPr>
          <w:rFonts w:cs="Arial"/>
          <w:color w:val="000000" w:themeColor="text1"/>
          <w:sz w:val="22"/>
          <w:szCs w:val="22"/>
        </w:rPr>
        <w:t xml:space="preserve"> disability</w:t>
      </w:r>
      <w:r w:rsidR="00031E79" w:rsidRPr="00E72880">
        <w:rPr>
          <w:rFonts w:cs="Arial"/>
          <w:color w:val="000000" w:themeColor="text1"/>
          <w:sz w:val="22"/>
          <w:szCs w:val="22"/>
        </w:rPr>
        <w:t xml:space="preserve">) </w:t>
      </w:r>
    </w:p>
    <w:p w14:paraId="31B55161" w14:textId="51C751F7" w:rsidR="00031E79" w:rsidRPr="00E72880" w:rsidRDefault="00F87441" w:rsidP="008B43F1">
      <w:pPr>
        <w:pStyle w:val="ListParagraph"/>
        <w:numPr>
          <w:ilvl w:val="0"/>
          <w:numId w:val="32"/>
        </w:numPr>
        <w:pBdr>
          <w:top w:val="nil"/>
          <w:left w:val="nil"/>
          <w:bottom w:val="nil"/>
          <w:right w:val="nil"/>
          <w:between w:val="nil"/>
        </w:pBdr>
        <w:shd w:val="clear" w:color="auto" w:fill="FFFFFF"/>
        <w:jc w:val="both"/>
        <w:rPr>
          <w:rFonts w:cs="Arial"/>
          <w:color w:val="000000" w:themeColor="text1"/>
          <w:sz w:val="22"/>
          <w:szCs w:val="22"/>
        </w:rPr>
      </w:pPr>
      <w:r>
        <w:rPr>
          <w:rFonts w:cs="Arial"/>
          <w:color w:val="000000" w:themeColor="text1"/>
          <w:sz w:val="22"/>
          <w:szCs w:val="22"/>
        </w:rPr>
        <w:t>P</w:t>
      </w:r>
      <w:r w:rsidR="00031E79" w:rsidRPr="00ED0E53">
        <w:rPr>
          <w:rFonts w:cs="Arial"/>
          <w:color w:val="000000" w:themeColor="text1"/>
          <w:sz w:val="22"/>
          <w:szCs w:val="22"/>
        </w:rPr>
        <w:t>harmacies.</w:t>
      </w:r>
    </w:p>
    <w:p w14:paraId="611AD8B1" w14:textId="77777777" w:rsidR="00CA721E" w:rsidRPr="00442D9E" w:rsidRDefault="00CA721E" w:rsidP="001338B0">
      <w:pPr>
        <w:pBdr>
          <w:top w:val="nil"/>
          <w:left w:val="nil"/>
          <w:bottom w:val="nil"/>
          <w:right w:val="nil"/>
          <w:between w:val="nil"/>
        </w:pBdr>
        <w:shd w:val="clear" w:color="auto" w:fill="FFFFFF"/>
        <w:jc w:val="both"/>
        <w:rPr>
          <w:rFonts w:cs="Arial"/>
          <w:color w:val="000000" w:themeColor="text1"/>
          <w:sz w:val="22"/>
          <w:szCs w:val="22"/>
        </w:rPr>
      </w:pPr>
    </w:p>
    <w:p w14:paraId="56BA5961" w14:textId="163D4178" w:rsidR="00031E79" w:rsidRPr="00442D9E" w:rsidRDefault="00031E79" w:rsidP="001338B0">
      <w:pPr>
        <w:pBdr>
          <w:top w:val="nil"/>
          <w:left w:val="nil"/>
          <w:bottom w:val="nil"/>
          <w:right w:val="nil"/>
          <w:between w:val="nil"/>
        </w:pBdr>
        <w:shd w:val="clear" w:color="auto" w:fill="FFFFFF"/>
        <w:jc w:val="both"/>
        <w:rPr>
          <w:rFonts w:cs="Arial"/>
          <w:color w:val="000000" w:themeColor="text1"/>
          <w:sz w:val="22"/>
          <w:szCs w:val="22"/>
        </w:rPr>
      </w:pPr>
      <w:r w:rsidRPr="00442D9E">
        <w:rPr>
          <w:rFonts w:cs="Arial"/>
          <w:color w:val="000000" w:themeColor="text1"/>
          <w:sz w:val="22"/>
          <w:szCs w:val="22"/>
        </w:rPr>
        <w:t>Multicultural and migrant health services are particularly critical in providing STI services to culturally, linguistically</w:t>
      </w:r>
      <w:r w:rsidR="00225A5B">
        <w:rPr>
          <w:rFonts w:cs="Arial"/>
          <w:color w:val="000000" w:themeColor="text1"/>
          <w:sz w:val="22"/>
          <w:szCs w:val="22"/>
        </w:rPr>
        <w:t>,</w:t>
      </w:r>
      <w:r w:rsidRPr="00442D9E">
        <w:rPr>
          <w:rFonts w:cs="Arial"/>
          <w:color w:val="000000" w:themeColor="text1"/>
          <w:sz w:val="22"/>
          <w:szCs w:val="22"/>
        </w:rPr>
        <w:t xml:space="preserve"> and ethnically diverse communities. These settings can help promote equitable access to services by reducing language barriers and working alongside primary healthcare services and professionals to ensure that services are delivered in a culturally appropriate and accessible way.</w:t>
      </w:r>
    </w:p>
    <w:p w14:paraId="4B772316" w14:textId="77777777" w:rsidR="00031E79" w:rsidRPr="00442D9E" w:rsidRDefault="00031E79" w:rsidP="001338B0">
      <w:pPr>
        <w:pBdr>
          <w:top w:val="nil"/>
          <w:left w:val="nil"/>
          <w:bottom w:val="nil"/>
          <w:right w:val="nil"/>
          <w:between w:val="nil"/>
        </w:pBdr>
        <w:shd w:val="clear" w:color="auto" w:fill="FFFFFF"/>
        <w:jc w:val="both"/>
        <w:rPr>
          <w:rFonts w:cs="Arial"/>
          <w:color w:val="000000" w:themeColor="text1"/>
          <w:sz w:val="22"/>
          <w:szCs w:val="22"/>
        </w:rPr>
      </w:pPr>
    </w:p>
    <w:p w14:paraId="7ADB84F6" w14:textId="4F3C0A2E" w:rsidR="00031E79" w:rsidRPr="00442D9E" w:rsidRDefault="00031E79" w:rsidP="00397CF0">
      <w:pPr>
        <w:pBdr>
          <w:top w:val="nil"/>
          <w:left w:val="nil"/>
          <w:bottom w:val="nil"/>
          <w:right w:val="nil"/>
          <w:between w:val="nil"/>
        </w:pBdr>
        <w:shd w:val="clear" w:color="auto" w:fill="FFFFFF"/>
        <w:jc w:val="both"/>
        <w:rPr>
          <w:rFonts w:cs="Arial"/>
          <w:b/>
          <w:bCs/>
          <w:color w:val="000000" w:themeColor="text1"/>
          <w:sz w:val="22"/>
          <w:szCs w:val="22"/>
        </w:rPr>
      </w:pPr>
      <w:r w:rsidRPr="00442D9E">
        <w:rPr>
          <w:rFonts w:cs="Arial"/>
          <w:b/>
          <w:bCs/>
          <w:color w:val="000000" w:themeColor="text1"/>
          <w:sz w:val="22"/>
          <w:szCs w:val="22"/>
        </w:rPr>
        <w:t xml:space="preserve">Home-based and online settings </w:t>
      </w:r>
    </w:p>
    <w:p w14:paraId="6E6C07A6" w14:textId="70284697" w:rsidR="00031E79" w:rsidRPr="00442D9E" w:rsidRDefault="00031E79" w:rsidP="003F5496">
      <w:pPr>
        <w:pBdr>
          <w:top w:val="nil"/>
          <w:left w:val="nil"/>
          <w:bottom w:val="nil"/>
          <w:right w:val="nil"/>
          <w:between w:val="nil"/>
        </w:pBdr>
        <w:jc w:val="both"/>
        <w:rPr>
          <w:rFonts w:cs="Arial"/>
          <w:color w:val="000000" w:themeColor="text1"/>
          <w:sz w:val="22"/>
          <w:szCs w:val="22"/>
        </w:rPr>
      </w:pPr>
      <w:r w:rsidRPr="00442D9E">
        <w:rPr>
          <w:rFonts w:cs="Arial"/>
          <w:color w:val="000000" w:themeColor="text1"/>
          <w:sz w:val="22"/>
          <w:szCs w:val="22"/>
        </w:rPr>
        <w:t>Home-based setting</w:t>
      </w:r>
      <w:r w:rsidR="00CA721E" w:rsidRPr="00442D9E">
        <w:rPr>
          <w:rFonts w:cs="Arial"/>
          <w:color w:val="000000" w:themeColor="text1"/>
          <w:sz w:val="22"/>
          <w:szCs w:val="22"/>
        </w:rPr>
        <w:t>s</w:t>
      </w:r>
      <w:r w:rsidRPr="00442D9E">
        <w:rPr>
          <w:rFonts w:cs="Arial"/>
          <w:color w:val="000000" w:themeColor="text1"/>
          <w:sz w:val="22"/>
          <w:szCs w:val="22"/>
        </w:rPr>
        <w:t xml:space="preserve"> include access to telehealth and self-testing. Online settings include health promotion through dating </w:t>
      </w:r>
      <w:r w:rsidR="000F2449" w:rsidRPr="00442D9E">
        <w:rPr>
          <w:rFonts w:cs="Arial"/>
          <w:color w:val="000000" w:themeColor="text1"/>
          <w:sz w:val="22"/>
          <w:szCs w:val="22"/>
        </w:rPr>
        <w:t>sites</w:t>
      </w:r>
      <w:r w:rsidR="00FC0DE9">
        <w:rPr>
          <w:rFonts w:cs="Arial"/>
          <w:color w:val="000000" w:themeColor="text1"/>
          <w:sz w:val="22"/>
          <w:szCs w:val="22"/>
        </w:rPr>
        <w:t xml:space="preserve">, </w:t>
      </w:r>
      <w:r w:rsidR="00091CB8">
        <w:rPr>
          <w:rFonts w:cs="Arial"/>
          <w:color w:val="000000" w:themeColor="text1"/>
          <w:sz w:val="22"/>
          <w:szCs w:val="22"/>
        </w:rPr>
        <w:t xml:space="preserve">online </w:t>
      </w:r>
      <w:r w:rsidR="00FC0DE9">
        <w:rPr>
          <w:rFonts w:cs="Arial"/>
          <w:color w:val="000000" w:themeColor="text1"/>
          <w:sz w:val="22"/>
          <w:szCs w:val="22"/>
        </w:rPr>
        <w:t>social networking</w:t>
      </w:r>
      <w:r w:rsidR="00761311">
        <w:rPr>
          <w:rFonts w:cs="Arial"/>
          <w:color w:val="000000" w:themeColor="text1"/>
          <w:sz w:val="22"/>
          <w:szCs w:val="22"/>
        </w:rPr>
        <w:t xml:space="preserve">, </w:t>
      </w:r>
      <w:r w:rsidR="000F2449" w:rsidRPr="00442D9E">
        <w:rPr>
          <w:rFonts w:cs="Arial"/>
          <w:color w:val="000000" w:themeColor="text1"/>
          <w:sz w:val="22"/>
          <w:szCs w:val="22"/>
        </w:rPr>
        <w:t>and applications.</w:t>
      </w:r>
      <w:r w:rsidR="006A093C" w:rsidRPr="00442D9E">
        <w:rPr>
          <w:rFonts w:cs="Arial"/>
          <w:color w:val="000000" w:themeColor="text1"/>
          <w:sz w:val="22"/>
          <w:szCs w:val="22"/>
        </w:rPr>
        <w:t xml:space="preserve"> Dating platforms have change</w:t>
      </w:r>
      <w:r w:rsidR="0007458F" w:rsidRPr="00442D9E">
        <w:rPr>
          <w:rFonts w:cs="Arial"/>
          <w:color w:val="000000" w:themeColor="text1"/>
          <w:sz w:val="22"/>
          <w:szCs w:val="22"/>
        </w:rPr>
        <w:t>d how people engage in sexual conduct</w:t>
      </w:r>
      <w:r w:rsidR="003069F8" w:rsidRPr="00442D9E">
        <w:rPr>
          <w:rFonts w:cs="Arial"/>
          <w:color w:val="000000" w:themeColor="text1"/>
          <w:sz w:val="22"/>
          <w:szCs w:val="22"/>
        </w:rPr>
        <w:t>, broadening a network of potential or actual sexual partners.</w:t>
      </w:r>
      <w:r w:rsidR="000F2449" w:rsidRPr="00442D9E">
        <w:rPr>
          <w:rFonts w:cs="Arial"/>
          <w:color w:val="000000" w:themeColor="text1"/>
          <w:sz w:val="22"/>
          <w:szCs w:val="22"/>
        </w:rPr>
        <w:t xml:space="preserve"> </w:t>
      </w:r>
      <w:r w:rsidR="00760256" w:rsidRPr="00442D9E">
        <w:rPr>
          <w:rFonts w:cs="Arial"/>
          <w:color w:val="000000" w:themeColor="text1"/>
          <w:sz w:val="22"/>
          <w:szCs w:val="22"/>
        </w:rPr>
        <w:t xml:space="preserve">Research has shown that </w:t>
      </w:r>
      <w:r w:rsidR="008275F5" w:rsidRPr="00442D9E">
        <w:rPr>
          <w:rFonts w:cs="Arial"/>
          <w:color w:val="000000" w:themeColor="text1"/>
          <w:sz w:val="22"/>
          <w:szCs w:val="22"/>
        </w:rPr>
        <w:t xml:space="preserve">dating </w:t>
      </w:r>
      <w:r w:rsidR="00404BC2" w:rsidRPr="00442D9E">
        <w:rPr>
          <w:rFonts w:cs="Arial"/>
          <w:color w:val="000000" w:themeColor="text1"/>
          <w:sz w:val="22"/>
          <w:szCs w:val="22"/>
        </w:rPr>
        <w:t>sites</w:t>
      </w:r>
      <w:r w:rsidR="00761311">
        <w:rPr>
          <w:rFonts w:cs="Arial"/>
          <w:color w:val="000000" w:themeColor="text1"/>
          <w:sz w:val="22"/>
          <w:szCs w:val="22"/>
        </w:rPr>
        <w:t>, social media</w:t>
      </w:r>
      <w:r w:rsidR="00404BC2" w:rsidRPr="00442D9E">
        <w:rPr>
          <w:rFonts w:cs="Arial"/>
          <w:color w:val="000000" w:themeColor="text1"/>
          <w:sz w:val="22"/>
          <w:szCs w:val="22"/>
        </w:rPr>
        <w:t xml:space="preserve"> and applications</w:t>
      </w:r>
      <w:r w:rsidR="008275F5" w:rsidRPr="00442D9E">
        <w:rPr>
          <w:rFonts w:cs="Arial"/>
          <w:color w:val="000000" w:themeColor="text1"/>
          <w:sz w:val="22"/>
          <w:szCs w:val="22"/>
        </w:rPr>
        <w:t xml:space="preserve"> provide an effective way of communicating </w:t>
      </w:r>
      <w:r w:rsidR="005858C5" w:rsidRPr="00442D9E">
        <w:rPr>
          <w:rFonts w:cs="Arial"/>
          <w:color w:val="000000" w:themeColor="text1"/>
          <w:sz w:val="22"/>
          <w:szCs w:val="22"/>
        </w:rPr>
        <w:t>preventative and educational messages</w:t>
      </w:r>
      <w:r w:rsidR="006A093C" w:rsidRPr="00442D9E">
        <w:rPr>
          <w:rFonts w:cs="Arial"/>
          <w:color w:val="000000" w:themeColor="text1"/>
          <w:sz w:val="22"/>
          <w:szCs w:val="22"/>
        </w:rPr>
        <w:t>.</w:t>
      </w:r>
      <w:r w:rsidR="008B43F1">
        <w:rPr>
          <w:rFonts w:ascii="ZWAdobeF" w:hAnsi="ZWAdobeF" w:cs="ZWAdobeF"/>
          <w:sz w:val="2"/>
          <w:szCs w:val="2"/>
        </w:rPr>
        <w:t>104F</w:t>
      </w:r>
      <w:r w:rsidR="00BD4F52" w:rsidRPr="00442D9E">
        <w:rPr>
          <w:rStyle w:val="EndnoteReference"/>
          <w:rFonts w:cs="Arial"/>
          <w:color w:val="000000" w:themeColor="text1"/>
          <w:sz w:val="22"/>
          <w:szCs w:val="22"/>
        </w:rPr>
        <w:endnoteReference w:id="104"/>
      </w:r>
    </w:p>
    <w:p w14:paraId="64320BF4" w14:textId="77777777" w:rsidR="00031E79" w:rsidRPr="00442D9E" w:rsidRDefault="00031E79" w:rsidP="00397CF0">
      <w:pPr>
        <w:pBdr>
          <w:top w:val="nil"/>
          <w:left w:val="nil"/>
          <w:bottom w:val="nil"/>
          <w:right w:val="nil"/>
          <w:between w:val="nil"/>
        </w:pBdr>
        <w:shd w:val="clear" w:color="auto" w:fill="FFFFFF"/>
        <w:jc w:val="both"/>
        <w:rPr>
          <w:rFonts w:cs="Arial"/>
          <w:color w:val="000000" w:themeColor="text1"/>
          <w:sz w:val="22"/>
          <w:szCs w:val="22"/>
        </w:rPr>
      </w:pPr>
    </w:p>
    <w:p w14:paraId="1201A559" w14:textId="769CDD1C" w:rsidR="00031E79" w:rsidRPr="00442D9E" w:rsidRDefault="00031E79" w:rsidP="00397CF0">
      <w:pPr>
        <w:pBdr>
          <w:top w:val="nil"/>
          <w:left w:val="nil"/>
          <w:bottom w:val="nil"/>
          <w:right w:val="nil"/>
          <w:between w:val="nil"/>
        </w:pBdr>
        <w:shd w:val="clear" w:color="auto" w:fill="FFFFFF"/>
        <w:jc w:val="both"/>
        <w:rPr>
          <w:rFonts w:cs="Arial"/>
          <w:b/>
          <w:bCs/>
          <w:color w:val="000000" w:themeColor="text1"/>
          <w:sz w:val="22"/>
          <w:szCs w:val="22"/>
        </w:rPr>
      </w:pPr>
      <w:r w:rsidRPr="00442D9E">
        <w:rPr>
          <w:rFonts w:cs="Arial"/>
          <w:b/>
          <w:bCs/>
          <w:color w:val="000000" w:themeColor="text1"/>
          <w:sz w:val="22"/>
          <w:szCs w:val="22"/>
        </w:rPr>
        <w:t>Geographic settings</w:t>
      </w:r>
    </w:p>
    <w:p w14:paraId="7DAFB97B" w14:textId="0F549DAA" w:rsidR="00A34EAC" w:rsidRDefault="00031E79" w:rsidP="00560122">
      <w:pPr>
        <w:pBdr>
          <w:top w:val="nil"/>
          <w:left w:val="nil"/>
          <w:bottom w:val="nil"/>
          <w:right w:val="nil"/>
          <w:between w:val="nil"/>
        </w:pBdr>
        <w:shd w:val="clear" w:color="auto" w:fill="FFFFFF" w:themeFill="background1"/>
        <w:jc w:val="both"/>
        <w:rPr>
          <w:rFonts w:cs="Arial"/>
          <w:b/>
          <w:bCs/>
          <w:color w:val="000000" w:themeColor="text1"/>
          <w:sz w:val="22"/>
          <w:szCs w:val="22"/>
        </w:rPr>
      </w:pPr>
      <w:r w:rsidRPr="00442D9E">
        <w:rPr>
          <w:rFonts w:cs="Arial"/>
          <w:color w:val="000000" w:themeColor="text1"/>
          <w:sz w:val="22"/>
          <w:szCs w:val="22"/>
        </w:rPr>
        <w:t xml:space="preserve">Efforts should focus on locations with high prevalence and/or incidence of STI and </w:t>
      </w:r>
      <w:r w:rsidR="009C5C78">
        <w:rPr>
          <w:rFonts w:cs="Arial"/>
          <w:color w:val="000000" w:themeColor="text1"/>
          <w:sz w:val="22"/>
          <w:szCs w:val="22"/>
        </w:rPr>
        <w:t xml:space="preserve">difficulties </w:t>
      </w:r>
      <w:r w:rsidRPr="00442D9E">
        <w:rPr>
          <w:rFonts w:cs="Arial"/>
          <w:color w:val="000000" w:themeColor="text1"/>
          <w:sz w:val="22"/>
          <w:szCs w:val="22"/>
        </w:rPr>
        <w:t>access</w:t>
      </w:r>
      <w:r w:rsidR="009C5C78">
        <w:rPr>
          <w:rFonts w:cs="Arial"/>
          <w:color w:val="000000" w:themeColor="text1"/>
          <w:sz w:val="22"/>
          <w:szCs w:val="22"/>
        </w:rPr>
        <w:t>ing</w:t>
      </w:r>
      <w:r w:rsidRPr="00442D9E">
        <w:rPr>
          <w:rFonts w:cs="Arial"/>
          <w:color w:val="000000" w:themeColor="text1"/>
          <w:sz w:val="22"/>
          <w:szCs w:val="22"/>
        </w:rPr>
        <w:t xml:space="preserve"> services</w:t>
      </w:r>
      <w:r w:rsidR="00DB2F70" w:rsidRPr="00442D9E">
        <w:rPr>
          <w:rFonts w:cs="Arial"/>
          <w:color w:val="000000" w:themeColor="text1"/>
          <w:sz w:val="22"/>
          <w:szCs w:val="22"/>
        </w:rPr>
        <w:t>.</w:t>
      </w:r>
      <w:r w:rsidRPr="00442D9E">
        <w:rPr>
          <w:rFonts w:cs="Arial"/>
          <w:color w:val="000000" w:themeColor="text1"/>
          <w:sz w:val="22"/>
          <w:szCs w:val="22"/>
        </w:rPr>
        <w:t xml:space="preserve"> </w:t>
      </w:r>
      <w:r w:rsidR="001A0B39" w:rsidRPr="00442D9E">
        <w:rPr>
          <w:rFonts w:cs="Arial"/>
          <w:color w:val="000000" w:themeColor="text1"/>
          <w:sz w:val="22"/>
          <w:szCs w:val="22"/>
        </w:rPr>
        <w:t>I</w:t>
      </w:r>
      <w:r w:rsidRPr="00442D9E">
        <w:rPr>
          <w:rFonts w:cs="Arial"/>
          <w:color w:val="000000" w:themeColor="text1"/>
          <w:sz w:val="22"/>
          <w:szCs w:val="22"/>
        </w:rPr>
        <w:t>n regional, rural</w:t>
      </w:r>
      <w:r w:rsidR="0033619D">
        <w:rPr>
          <w:rFonts w:cs="Arial"/>
          <w:color w:val="000000" w:themeColor="text1"/>
          <w:sz w:val="22"/>
          <w:szCs w:val="22"/>
        </w:rPr>
        <w:t>,</w:t>
      </w:r>
      <w:r w:rsidRPr="00442D9E">
        <w:rPr>
          <w:rFonts w:cs="Arial"/>
          <w:color w:val="000000" w:themeColor="text1"/>
          <w:sz w:val="22"/>
          <w:szCs w:val="22"/>
        </w:rPr>
        <w:t xml:space="preserve"> and remote Australia</w:t>
      </w:r>
      <w:r w:rsidR="001A0B39" w:rsidRPr="00442D9E">
        <w:rPr>
          <w:rFonts w:cs="Arial"/>
          <w:color w:val="000000" w:themeColor="text1"/>
          <w:sz w:val="22"/>
          <w:szCs w:val="22"/>
        </w:rPr>
        <w:t>, t</w:t>
      </w:r>
      <w:r w:rsidR="00670559" w:rsidRPr="00442D9E">
        <w:rPr>
          <w:rFonts w:cs="Arial"/>
          <w:color w:val="000000" w:themeColor="text1"/>
          <w:sz w:val="22"/>
          <w:szCs w:val="22"/>
        </w:rPr>
        <w:t xml:space="preserve">hese </w:t>
      </w:r>
      <w:r w:rsidR="004C3213" w:rsidRPr="00442D9E">
        <w:rPr>
          <w:rFonts w:cs="Arial"/>
          <w:color w:val="000000" w:themeColor="text1"/>
          <w:sz w:val="22"/>
          <w:szCs w:val="22"/>
        </w:rPr>
        <w:t xml:space="preserve">settings </w:t>
      </w:r>
      <w:r w:rsidR="002A0CED" w:rsidRPr="00442D9E">
        <w:rPr>
          <w:rFonts w:cs="Arial"/>
          <w:color w:val="000000" w:themeColor="text1"/>
          <w:sz w:val="22"/>
          <w:szCs w:val="22"/>
        </w:rPr>
        <w:t>can have additional challenges</w:t>
      </w:r>
      <w:r w:rsidR="00611729" w:rsidRPr="00442D9E">
        <w:rPr>
          <w:rFonts w:cs="Arial"/>
          <w:color w:val="000000" w:themeColor="text1"/>
          <w:sz w:val="22"/>
          <w:szCs w:val="22"/>
        </w:rPr>
        <w:t xml:space="preserve">, as distance can pose a significant barrier to timely </w:t>
      </w:r>
      <w:r w:rsidR="002A0CED" w:rsidRPr="00442D9E">
        <w:rPr>
          <w:rFonts w:cs="Arial"/>
          <w:color w:val="000000" w:themeColor="text1"/>
          <w:sz w:val="22"/>
          <w:szCs w:val="22"/>
        </w:rPr>
        <w:t xml:space="preserve">access </w:t>
      </w:r>
      <w:r w:rsidR="002173C2" w:rsidRPr="00442D9E">
        <w:rPr>
          <w:rFonts w:cs="Arial"/>
          <w:color w:val="000000" w:themeColor="text1"/>
          <w:sz w:val="22"/>
          <w:szCs w:val="22"/>
        </w:rPr>
        <w:t>of</w:t>
      </w:r>
      <w:r w:rsidR="002A0CED" w:rsidRPr="00442D9E">
        <w:rPr>
          <w:rFonts w:cs="Arial"/>
          <w:color w:val="000000" w:themeColor="text1"/>
          <w:sz w:val="22"/>
          <w:szCs w:val="22"/>
        </w:rPr>
        <w:t xml:space="preserve"> </w:t>
      </w:r>
      <w:r w:rsidR="00611729" w:rsidRPr="00442D9E">
        <w:rPr>
          <w:rFonts w:cs="Arial"/>
          <w:color w:val="000000" w:themeColor="text1"/>
          <w:sz w:val="22"/>
          <w:szCs w:val="22"/>
        </w:rPr>
        <w:t>sexual and other health services</w:t>
      </w:r>
      <w:r w:rsidR="002A0CED" w:rsidRPr="00442D9E">
        <w:rPr>
          <w:rFonts w:cs="Arial"/>
          <w:color w:val="000000" w:themeColor="text1"/>
          <w:sz w:val="22"/>
          <w:szCs w:val="22"/>
        </w:rPr>
        <w:t xml:space="preserve">. </w:t>
      </w:r>
    </w:p>
    <w:p w14:paraId="2578CA22" w14:textId="77777777" w:rsidR="00AF5256" w:rsidRDefault="00AF5256" w:rsidP="00397CF0">
      <w:pPr>
        <w:pBdr>
          <w:top w:val="nil"/>
          <w:left w:val="nil"/>
          <w:bottom w:val="nil"/>
          <w:right w:val="nil"/>
          <w:between w:val="nil"/>
        </w:pBdr>
        <w:shd w:val="clear" w:color="auto" w:fill="FFFFFF"/>
        <w:jc w:val="both"/>
        <w:rPr>
          <w:rFonts w:cs="Arial"/>
          <w:b/>
          <w:bCs/>
          <w:color w:val="000000" w:themeColor="text1"/>
          <w:sz w:val="22"/>
          <w:szCs w:val="22"/>
        </w:rPr>
      </w:pPr>
    </w:p>
    <w:p w14:paraId="682500F5" w14:textId="209380DE" w:rsidR="00875D08" w:rsidRPr="00AF096D" w:rsidRDefault="00031E79" w:rsidP="00875D08">
      <w:pPr>
        <w:pBdr>
          <w:top w:val="nil"/>
          <w:left w:val="nil"/>
          <w:bottom w:val="nil"/>
          <w:right w:val="nil"/>
          <w:between w:val="nil"/>
        </w:pBdr>
        <w:shd w:val="clear" w:color="auto" w:fill="FFFFFF"/>
        <w:jc w:val="both"/>
        <w:rPr>
          <w:rFonts w:cs="Arial"/>
          <w:i/>
          <w:color w:val="000000" w:themeColor="text1"/>
          <w:sz w:val="22"/>
          <w:szCs w:val="22"/>
        </w:rPr>
      </w:pPr>
      <w:r w:rsidRPr="00442D9E">
        <w:rPr>
          <w:rFonts w:cs="Arial"/>
          <w:b/>
          <w:bCs/>
          <w:color w:val="000000" w:themeColor="text1"/>
          <w:sz w:val="22"/>
          <w:szCs w:val="22"/>
        </w:rPr>
        <w:t>Custodial settings</w:t>
      </w:r>
      <w:r w:rsidR="00875D08">
        <w:rPr>
          <w:rFonts w:cs="Arial"/>
          <w:b/>
          <w:bCs/>
          <w:color w:val="000000" w:themeColor="text1"/>
          <w:sz w:val="22"/>
          <w:szCs w:val="22"/>
        </w:rPr>
        <w:t>,</w:t>
      </w:r>
      <w:r w:rsidRPr="00442D9E">
        <w:rPr>
          <w:rFonts w:cs="Arial"/>
          <w:b/>
          <w:bCs/>
          <w:color w:val="000000" w:themeColor="text1"/>
          <w:sz w:val="22"/>
          <w:szCs w:val="22"/>
        </w:rPr>
        <w:t xml:space="preserve"> </w:t>
      </w:r>
      <w:r w:rsidR="00875D08" w:rsidRPr="00ED0E53">
        <w:rPr>
          <w:rFonts w:cs="Arial"/>
          <w:b/>
          <w:bCs/>
          <w:color w:val="000000" w:themeColor="text1"/>
          <w:sz w:val="22"/>
          <w:szCs w:val="22"/>
        </w:rPr>
        <w:t>Corrections settings and other places of held detention</w:t>
      </w:r>
    </w:p>
    <w:p w14:paraId="41EDF0C4" w14:textId="542913DA" w:rsidR="00031E79" w:rsidRPr="00A03AB8" w:rsidRDefault="00031E79" w:rsidP="00A60E43">
      <w:pPr>
        <w:pBdr>
          <w:top w:val="nil"/>
          <w:left w:val="nil"/>
          <w:bottom w:val="nil"/>
          <w:right w:val="nil"/>
          <w:between w:val="nil"/>
        </w:pBdr>
        <w:shd w:val="clear" w:color="auto" w:fill="FFFFFF"/>
        <w:jc w:val="both"/>
        <w:rPr>
          <w:rFonts w:cs="Arial"/>
          <w:color w:val="000000" w:themeColor="text1"/>
          <w:sz w:val="22"/>
          <w:szCs w:val="22"/>
        </w:rPr>
      </w:pPr>
      <w:r w:rsidRPr="00A03AB8">
        <w:rPr>
          <w:rFonts w:cs="Arial"/>
          <w:color w:val="000000" w:themeColor="text1"/>
          <w:sz w:val="22"/>
          <w:szCs w:val="22"/>
        </w:rPr>
        <w:t>People in custodial settings are often from marginalised and disproportionally criminalised groups, including </w:t>
      </w:r>
      <w:hyperlink r:id="rId86" w:history="1">
        <w:r w:rsidR="009E5590">
          <w:rPr>
            <w:rFonts w:cs="Arial"/>
            <w:color w:val="000000" w:themeColor="text1"/>
            <w:sz w:val="22"/>
            <w:szCs w:val="22"/>
          </w:rPr>
          <w:t>Aboriginal and Torres Strait Islander</w:t>
        </w:r>
        <w:r w:rsidR="006953C3">
          <w:rPr>
            <w:rFonts w:cs="Arial"/>
            <w:color w:val="000000" w:themeColor="text1"/>
            <w:sz w:val="22"/>
            <w:szCs w:val="22"/>
          </w:rPr>
          <w:t xml:space="preserve"> </w:t>
        </w:r>
        <w:r w:rsidRPr="003F5976">
          <w:rPr>
            <w:rFonts w:cs="Arial"/>
            <w:color w:val="000000" w:themeColor="text1"/>
            <w:sz w:val="22"/>
            <w:szCs w:val="22"/>
          </w:rPr>
          <w:t>people</w:t>
        </w:r>
      </w:hyperlink>
      <w:r w:rsidRPr="00A03AB8">
        <w:rPr>
          <w:rFonts w:cs="Arial"/>
          <w:color w:val="000000" w:themeColor="text1"/>
          <w:sz w:val="22"/>
          <w:szCs w:val="22"/>
        </w:rPr>
        <w:t>, </w:t>
      </w:r>
      <w:hyperlink r:id="rId87" w:history="1">
        <w:r w:rsidRPr="003F5976">
          <w:rPr>
            <w:rFonts w:cs="Arial"/>
            <w:color w:val="000000" w:themeColor="text1"/>
            <w:sz w:val="22"/>
            <w:szCs w:val="22"/>
          </w:rPr>
          <w:t>people who use drugs</w:t>
        </w:r>
      </w:hyperlink>
      <w:r w:rsidRPr="00A03AB8">
        <w:rPr>
          <w:rFonts w:cs="Arial"/>
          <w:color w:val="000000" w:themeColor="text1"/>
          <w:sz w:val="22"/>
          <w:szCs w:val="22"/>
        </w:rPr>
        <w:t>, </w:t>
      </w:r>
      <w:hyperlink r:id="rId88" w:history="1">
        <w:r w:rsidRPr="003F5976">
          <w:rPr>
            <w:rFonts w:cs="Arial"/>
            <w:color w:val="000000" w:themeColor="text1"/>
            <w:sz w:val="22"/>
            <w:szCs w:val="22"/>
          </w:rPr>
          <w:t>sex workers</w:t>
        </w:r>
      </w:hyperlink>
      <w:r w:rsidRPr="00A03AB8">
        <w:rPr>
          <w:rFonts w:cs="Arial"/>
          <w:color w:val="000000" w:themeColor="text1"/>
          <w:sz w:val="22"/>
          <w:szCs w:val="22"/>
        </w:rPr>
        <w:t>, </w:t>
      </w:r>
      <w:hyperlink r:id="rId89" w:history="1">
        <w:r w:rsidRPr="003F5976">
          <w:rPr>
            <w:rFonts w:cs="Arial"/>
            <w:color w:val="000000" w:themeColor="text1"/>
            <w:sz w:val="22"/>
            <w:szCs w:val="22"/>
          </w:rPr>
          <w:t>trans and gender diverse people</w:t>
        </w:r>
      </w:hyperlink>
      <w:r w:rsidRPr="00A03AB8">
        <w:rPr>
          <w:rFonts w:cs="Arial"/>
          <w:color w:val="000000" w:themeColor="text1"/>
          <w:sz w:val="22"/>
          <w:szCs w:val="22"/>
        </w:rPr>
        <w:t>, and people from </w:t>
      </w:r>
      <w:hyperlink r:id="rId90" w:history="1">
        <w:r w:rsidRPr="003F5976">
          <w:rPr>
            <w:rFonts w:cs="Arial"/>
            <w:color w:val="000000" w:themeColor="text1"/>
            <w:sz w:val="22"/>
            <w:szCs w:val="22"/>
          </w:rPr>
          <w:t>culturally and linguistically diverse (CALD) backgrounds</w:t>
        </w:r>
      </w:hyperlink>
      <w:r w:rsidRPr="00A03AB8">
        <w:rPr>
          <w:rFonts w:cs="Arial"/>
          <w:color w:val="000000" w:themeColor="text1"/>
          <w:sz w:val="22"/>
          <w:szCs w:val="22"/>
        </w:rPr>
        <w:t>. Unwanted sex can occur in custodial settings, and people may engage in different sexual practi</w:t>
      </w:r>
      <w:r w:rsidR="00B52249">
        <w:rPr>
          <w:rFonts w:cs="Arial"/>
          <w:color w:val="000000" w:themeColor="text1"/>
          <w:sz w:val="22"/>
          <w:szCs w:val="22"/>
        </w:rPr>
        <w:t>s</w:t>
      </w:r>
      <w:r w:rsidRPr="00A03AB8">
        <w:rPr>
          <w:rFonts w:cs="Arial"/>
          <w:color w:val="000000" w:themeColor="text1"/>
          <w:sz w:val="22"/>
          <w:szCs w:val="22"/>
        </w:rPr>
        <w:t>es (prison sex, including</w:t>
      </w:r>
      <w:hyperlink r:id="rId91" w:history="1">
        <w:r w:rsidRPr="003F5976">
          <w:rPr>
            <w:rFonts w:cs="Arial"/>
            <w:color w:val="000000" w:themeColor="text1"/>
            <w:sz w:val="22"/>
            <w:szCs w:val="22"/>
          </w:rPr>
          <w:t> sex between men</w:t>
        </w:r>
      </w:hyperlink>
      <w:r w:rsidRPr="00A03AB8">
        <w:rPr>
          <w:rFonts w:cs="Arial"/>
          <w:color w:val="000000" w:themeColor="text1"/>
          <w:sz w:val="22"/>
          <w:szCs w:val="22"/>
        </w:rPr>
        <w:t xml:space="preserve">) from when they are in the general community. Incarceration is a risk factor for </w:t>
      </w:r>
      <w:hyperlink r:id="rId92" w:history="1">
        <w:r w:rsidRPr="003F5976">
          <w:rPr>
            <w:rFonts w:cs="Arial"/>
            <w:color w:val="000000" w:themeColor="text1"/>
            <w:sz w:val="22"/>
            <w:szCs w:val="22"/>
          </w:rPr>
          <w:t>STI</w:t>
        </w:r>
      </w:hyperlink>
      <w:r w:rsidRPr="00A03AB8">
        <w:rPr>
          <w:rFonts w:cs="Arial"/>
          <w:color w:val="000000" w:themeColor="text1"/>
          <w:sz w:val="22"/>
          <w:szCs w:val="22"/>
        </w:rPr>
        <w:t xml:space="preserve"> (as well as BBV infection and transmission) due to the lack of appropriate and accessible harm reduction measures.</w:t>
      </w:r>
      <w:r w:rsidR="008B43F1">
        <w:rPr>
          <w:rFonts w:ascii="ZWAdobeF" w:hAnsi="ZWAdobeF" w:cs="ZWAdobeF"/>
          <w:sz w:val="2"/>
          <w:szCs w:val="2"/>
        </w:rPr>
        <w:t>105F</w:t>
      </w:r>
      <w:r w:rsidRPr="00A03AB8">
        <w:rPr>
          <w:rStyle w:val="EndnoteReference"/>
          <w:rFonts w:cs="Arial"/>
          <w:color w:val="000000" w:themeColor="text1"/>
          <w:sz w:val="22"/>
          <w:szCs w:val="22"/>
        </w:rPr>
        <w:endnoteReference w:id="105"/>
      </w:r>
      <w:r w:rsidR="008F463B" w:rsidRPr="003F5976">
        <w:rPr>
          <w:rStyle w:val="EndnoteReference"/>
          <w:rFonts w:cs="Arial"/>
          <w:sz w:val="22"/>
          <w:szCs w:val="22"/>
        </w:rPr>
        <w:t xml:space="preserve"> </w:t>
      </w:r>
    </w:p>
    <w:p w14:paraId="67D00DFB" w14:textId="77777777" w:rsidR="00151F07" w:rsidRPr="00A03AB8" w:rsidRDefault="00151F07" w:rsidP="00A60E43">
      <w:pPr>
        <w:pBdr>
          <w:top w:val="nil"/>
          <w:left w:val="nil"/>
          <w:bottom w:val="nil"/>
          <w:right w:val="nil"/>
          <w:between w:val="nil"/>
        </w:pBdr>
        <w:shd w:val="clear" w:color="auto" w:fill="FFFFFF"/>
        <w:jc w:val="both"/>
        <w:rPr>
          <w:rFonts w:cs="Arial"/>
          <w:color w:val="000000" w:themeColor="text1"/>
          <w:sz w:val="22"/>
          <w:szCs w:val="22"/>
          <w:lang w:val="en-NZ"/>
        </w:rPr>
      </w:pPr>
    </w:p>
    <w:p w14:paraId="73A200C1" w14:textId="46EB7BEB" w:rsidR="009E34D4" w:rsidRPr="00A03AB8" w:rsidRDefault="00942692" w:rsidP="00397CF0">
      <w:pPr>
        <w:pBdr>
          <w:top w:val="nil"/>
          <w:left w:val="nil"/>
          <w:bottom w:val="nil"/>
          <w:right w:val="nil"/>
          <w:between w:val="nil"/>
        </w:pBdr>
        <w:shd w:val="clear" w:color="auto" w:fill="FFFFFF"/>
        <w:jc w:val="both"/>
        <w:rPr>
          <w:rFonts w:cs="Arial"/>
          <w:color w:val="000000" w:themeColor="text1"/>
          <w:sz w:val="22"/>
          <w:szCs w:val="22"/>
          <w:lang w:val="en-NZ"/>
        </w:rPr>
      </w:pPr>
      <w:r w:rsidRPr="00A03AB8">
        <w:rPr>
          <w:rFonts w:cs="Arial"/>
          <w:color w:val="000000" w:themeColor="text1"/>
          <w:sz w:val="22"/>
          <w:szCs w:val="22"/>
        </w:rPr>
        <w:t xml:space="preserve">A study by CSIRO identified that </w:t>
      </w:r>
      <w:r w:rsidR="000660A7" w:rsidRPr="00A03AB8">
        <w:rPr>
          <w:rFonts w:cs="Arial"/>
          <w:color w:val="000000" w:themeColor="text1"/>
          <w:sz w:val="22"/>
          <w:szCs w:val="22"/>
        </w:rPr>
        <w:t xml:space="preserve">Aboriginal peoples are </w:t>
      </w:r>
      <w:r w:rsidR="0087332E" w:rsidRPr="00A03AB8">
        <w:rPr>
          <w:rFonts w:cs="Arial"/>
          <w:color w:val="000000" w:themeColor="text1"/>
          <w:sz w:val="22"/>
          <w:szCs w:val="22"/>
        </w:rPr>
        <w:t xml:space="preserve">also </w:t>
      </w:r>
      <w:r w:rsidR="000660A7" w:rsidRPr="00A03AB8">
        <w:rPr>
          <w:rFonts w:cs="Arial"/>
          <w:color w:val="000000" w:themeColor="text1"/>
          <w:sz w:val="22"/>
          <w:szCs w:val="22"/>
        </w:rPr>
        <w:t>substantially over-represented in the Australian juvenile detention population</w:t>
      </w:r>
      <w:r w:rsidR="009E6647" w:rsidRPr="00A03AB8">
        <w:rPr>
          <w:rFonts w:cs="Arial"/>
          <w:color w:val="000000" w:themeColor="text1"/>
          <w:sz w:val="22"/>
          <w:szCs w:val="22"/>
        </w:rPr>
        <w:t>,</w:t>
      </w:r>
      <w:r w:rsidR="00B12EF5" w:rsidRPr="00A03AB8">
        <w:rPr>
          <w:rFonts w:cs="Arial"/>
          <w:color w:val="000000" w:themeColor="text1"/>
          <w:sz w:val="22"/>
          <w:szCs w:val="22"/>
        </w:rPr>
        <w:t xml:space="preserve"> </w:t>
      </w:r>
      <w:r w:rsidR="009E5081" w:rsidRPr="00A03AB8">
        <w:rPr>
          <w:rFonts w:cs="Arial"/>
          <w:color w:val="000000" w:themeColor="text1"/>
          <w:sz w:val="22"/>
          <w:szCs w:val="22"/>
        </w:rPr>
        <w:t xml:space="preserve">with findings </w:t>
      </w:r>
      <w:r w:rsidR="00E71AEF" w:rsidRPr="00A03AB8">
        <w:rPr>
          <w:rFonts w:cs="Arial"/>
          <w:color w:val="000000" w:themeColor="text1"/>
          <w:sz w:val="22"/>
          <w:szCs w:val="22"/>
        </w:rPr>
        <w:t xml:space="preserve">demonstrating </w:t>
      </w:r>
      <w:r w:rsidR="00B12EF5" w:rsidRPr="00A03AB8">
        <w:rPr>
          <w:rFonts w:cs="Arial"/>
          <w:color w:val="000000" w:themeColor="text1"/>
          <w:sz w:val="22"/>
          <w:szCs w:val="22"/>
        </w:rPr>
        <w:t>the need for sexual health services to work collaboratively across government sectors and with the Aboriginal community-controlled sector to provide appropriate education, testing and support.</w:t>
      </w:r>
      <w:r w:rsidR="008B43F1">
        <w:rPr>
          <w:rFonts w:ascii="ZWAdobeF" w:hAnsi="ZWAdobeF" w:cs="ZWAdobeF"/>
          <w:sz w:val="2"/>
          <w:szCs w:val="2"/>
        </w:rPr>
        <w:t>106F</w:t>
      </w:r>
      <w:r w:rsidR="009E6647" w:rsidRPr="00A03AB8">
        <w:rPr>
          <w:rStyle w:val="EndnoteReference"/>
          <w:rFonts w:cs="Arial"/>
          <w:color w:val="000000" w:themeColor="text1"/>
          <w:sz w:val="22"/>
          <w:szCs w:val="22"/>
        </w:rPr>
        <w:endnoteReference w:id="106"/>
      </w:r>
    </w:p>
    <w:p w14:paraId="05537B9B" w14:textId="77777777" w:rsidR="001975E5" w:rsidRDefault="001975E5">
      <w:pPr>
        <w:rPr>
          <w:rFonts w:cs="Arial"/>
          <w:color w:val="000000" w:themeColor="text1"/>
          <w:sz w:val="22"/>
          <w:szCs w:val="22"/>
        </w:rPr>
      </w:pPr>
      <w:r>
        <w:rPr>
          <w:rFonts w:cs="Arial"/>
          <w:color w:val="000000" w:themeColor="text1"/>
          <w:sz w:val="22"/>
          <w:szCs w:val="22"/>
        </w:rPr>
        <w:br w:type="page"/>
      </w:r>
    </w:p>
    <w:p w14:paraId="05ABDF0B" w14:textId="12336A08" w:rsidR="00031E79" w:rsidRPr="00442D9E" w:rsidRDefault="00031E79" w:rsidP="0022181C">
      <w:pPr>
        <w:pStyle w:val="Heading1"/>
        <w:numPr>
          <w:ilvl w:val="0"/>
          <w:numId w:val="7"/>
        </w:numPr>
      </w:pPr>
      <w:bookmarkStart w:id="73" w:name="_Priority_areas_for"/>
      <w:bookmarkStart w:id="74" w:name="_Toc150160962"/>
      <w:bookmarkStart w:id="75" w:name="_Toc163737188"/>
      <w:bookmarkEnd w:id="73"/>
      <w:r w:rsidRPr="00442D9E">
        <w:lastRenderedPageBreak/>
        <w:t>Priority areas for action</w:t>
      </w:r>
      <w:bookmarkEnd w:id="74"/>
      <w:bookmarkEnd w:id="75"/>
      <w:r w:rsidRPr="00442D9E">
        <w:t xml:space="preserve"> </w:t>
      </w:r>
    </w:p>
    <w:p w14:paraId="6DEFA944" w14:textId="77777777" w:rsidR="00031E79" w:rsidRPr="00442D9E" w:rsidRDefault="00031E79" w:rsidP="00522C41">
      <w:pPr>
        <w:jc w:val="both"/>
        <w:rPr>
          <w:rFonts w:cs="Arial"/>
          <w:b/>
          <w:bCs/>
          <w:color w:val="000000" w:themeColor="text1"/>
          <w:sz w:val="22"/>
          <w:szCs w:val="22"/>
        </w:rPr>
      </w:pPr>
    </w:p>
    <w:p w14:paraId="3DA0BE98" w14:textId="609BB61A" w:rsidR="00031E79" w:rsidRPr="00442D9E" w:rsidRDefault="00031E79" w:rsidP="00522C41">
      <w:pPr>
        <w:jc w:val="both"/>
        <w:rPr>
          <w:rFonts w:cs="Arial"/>
          <w:color w:val="000000" w:themeColor="text1"/>
          <w:sz w:val="22"/>
          <w:szCs w:val="22"/>
        </w:rPr>
      </w:pPr>
      <w:r w:rsidRPr="00442D9E">
        <w:rPr>
          <w:rFonts w:cs="Arial"/>
          <w:color w:val="000000" w:themeColor="text1"/>
          <w:sz w:val="22"/>
          <w:szCs w:val="22"/>
        </w:rPr>
        <w:t>The Fifth National STI Strategy includes set areas for action designed to enable the achievement of the goals and targets</w:t>
      </w:r>
      <w:r w:rsidR="006277E6">
        <w:rPr>
          <w:rFonts w:cs="Arial"/>
          <w:color w:val="000000" w:themeColor="text1"/>
          <w:sz w:val="22"/>
          <w:szCs w:val="22"/>
        </w:rPr>
        <w:t>.</w:t>
      </w:r>
      <w:r w:rsidRPr="00442D9E">
        <w:rPr>
          <w:rFonts w:cs="Arial"/>
          <w:color w:val="000000" w:themeColor="text1"/>
          <w:sz w:val="22"/>
          <w:szCs w:val="22"/>
        </w:rPr>
        <w:t xml:space="preserve"> Some areas for action support more than one goal and, importantly, should be viewed as mutually reinforcing</w:t>
      </w:r>
      <w:r w:rsidR="0062280A">
        <w:rPr>
          <w:rFonts w:cs="Arial"/>
          <w:color w:val="000000" w:themeColor="text1"/>
          <w:sz w:val="22"/>
          <w:szCs w:val="22"/>
        </w:rPr>
        <w:t>.</w:t>
      </w:r>
      <w:r w:rsidRPr="00442D9E">
        <w:rPr>
          <w:rFonts w:cs="Arial"/>
          <w:color w:val="000000" w:themeColor="text1"/>
          <w:sz w:val="22"/>
          <w:szCs w:val="22"/>
        </w:rPr>
        <w:t xml:space="preserve"> </w:t>
      </w:r>
      <w:r w:rsidR="0062280A">
        <w:rPr>
          <w:rFonts w:cs="Arial"/>
          <w:color w:val="000000" w:themeColor="text1"/>
          <w:sz w:val="22"/>
          <w:szCs w:val="22"/>
        </w:rPr>
        <w:t>T</w:t>
      </w:r>
      <w:r w:rsidRPr="00442D9E">
        <w:rPr>
          <w:rFonts w:cs="Arial"/>
          <w:color w:val="000000" w:themeColor="text1"/>
          <w:sz w:val="22"/>
          <w:szCs w:val="22"/>
        </w:rPr>
        <w:t xml:space="preserve">ogether, they will enhance the likelihood of success in achieving the vision of this </w:t>
      </w:r>
      <w:r w:rsidR="0062280A">
        <w:rPr>
          <w:rFonts w:cs="Arial"/>
          <w:color w:val="000000" w:themeColor="text1"/>
          <w:sz w:val="22"/>
          <w:szCs w:val="22"/>
        </w:rPr>
        <w:t>S</w:t>
      </w:r>
      <w:r w:rsidRPr="00442D9E">
        <w:rPr>
          <w:rFonts w:cs="Arial"/>
          <w:color w:val="000000" w:themeColor="text1"/>
          <w:sz w:val="22"/>
          <w:szCs w:val="22"/>
        </w:rPr>
        <w:t xml:space="preserve">trategy. At the same time, this </w:t>
      </w:r>
      <w:r w:rsidR="0062280A">
        <w:rPr>
          <w:rFonts w:cs="Arial"/>
          <w:color w:val="000000" w:themeColor="text1"/>
          <w:sz w:val="22"/>
          <w:szCs w:val="22"/>
        </w:rPr>
        <w:t>S</w:t>
      </w:r>
      <w:r w:rsidRPr="00442D9E">
        <w:rPr>
          <w:rFonts w:cs="Arial"/>
          <w:color w:val="000000" w:themeColor="text1"/>
          <w:sz w:val="22"/>
          <w:szCs w:val="22"/>
        </w:rPr>
        <w:t>trategy must also be responsive to new STI prevention developments and support their implementation.</w:t>
      </w:r>
    </w:p>
    <w:p w14:paraId="1358E8F8" w14:textId="52341291" w:rsidR="00E73CBD" w:rsidRPr="00442D9E" w:rsidRDefault="00E73CBD" w:rsidP="00522C41">
      <w:pPr>
        <w:jc w:val="both"/>
        <w:rPr>
          <w:rFonts w:cs="Arial"/>
          <w:color w:val="000000" w:themeColor="text1"/>
          <w:sz w:val="22"/>
          <w:szCs w:val="22"/>
        </w:rPr>
      </w:pPr>
    </w:p>
    <w:p w14:paraId="68458313" w14:textId="7F599126" w:rsidR="00031E79" w:rsidRPr="00442D9E" w:rsidRDefault="00C15627" w:rsidP="7626DB2E">
      <w:pPr>
        <w:rPr>
          <w:rFonts w:eastAsiaTheme="majorEastAsia" w:cs="Arial"/>
          <w:b/>
          <w:bCs/>
          <w:color w:val="000000" w:themeColor="text1"/>
          <w:sz w:val="22"/>
          <w:szCs w:val="22"/>
        </w:rPr>
      </w:pPr>
      <w:bookmarkStart w:id="76" w:name="_Hlk145422613"/>
      <w:r>
        <w:rPr>
          <w:noProof/>
        </w:rPr>
        <w:drawing>
          <wp:anchor distT="0" distB="0" distL="114300" distR="114300" simplePos="0" relativeHeight="251660341" behindDoc="1" locked="0" layoutInCell="1" allowOverlap="1" wp14:anchorId="351190D4" wp14:editId="026504A9">
            <wp:simplePos x="0" y="0"/>
            <wp:positionH relativeFrom="column">
              <wp:posOffset>24070</wp:posOffset>
            </wp:positionH>
            <wp:positionV relativeFrom="paragraph">
              <wp:posOffset>142240</wp:posOffset>
            </wp:positionV>
            <wp:extent cx="255270" cy="255270"/>
            <wp:effectExtent l="0" t="0" r="0" b="0"/>
            <wp:wrapTight wrapText="bothSides">
              <wp:wrapPolygon edited="0">
                <wp:start x="8060" y="0"/>
                <wp:lineTo x="0" y="9672"/>
                <wp:lineTo x="0" y="19343"/>
                <wp:lineTo x="11284" y="19343"/>
                <wp:lineTo x="19343" y="9672"/>
                <wp:lineTo x="19343" y="0"/>
                <wp:lineTo x="8060" y="0"/>
              </wp:wrapPolygon>
            </wp:wrapTight>
            <wp:docPr id="22046073" name="Graphic 22046073" descr="P75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6073" name="Graphic 22046073" descr="P751#y1">
                      <a:extLst>
                        <a:ext uri="{C183D7F6-B498-43B3-948B-1728B52AA6E4}">
                          <adec:decorative xmlns:adec="http://schemas.microsoft.com/office/drawing/2017/decorative" val="1"/>
                        </a:ext>
                      </a:extLst>
                    </pic:cNvPr>
                    <pic:cNvPicPr/>
                  </pic:nvPicPr>
                  <pic:blipFill>
                    <a:blip r:embed="rId93">
                      <a:extLst>
                        <a:ext uri="{96DAC541-7B7A-43D3-8B79-37D633B846F1}">
                          <asvg:svgBlip xmlns:asvg="http://schemas.microsoft.com/office/drawing/2016/SVG/main" r:embed="rId94"/>
                        </a:ext>
                      </a:extLst>
                    </a:blip>
                    <a:stretch>
                      <a:fillRect/>
                    </a:stretch>
                  </pic:blipFill>
                  <pic:spPr>
                    <a:xfrm>
                      <a:off x="0" y="0"/>
                      <a:ext cx="255270" cy="255270"/>
                    </a:xfrm>
                    <a:prstGeom prst="rect">
                      <a:avLst/>
                    </a:prstGeom>
                  </pic:spPr>
                </pic:pic>
              </a:graphicData>
            </a:graphic>
          </wp:anchor>
        </w:drawing>
      </w:r>
    </w:p>
    <w:p w14:paraId="0A452B92" w14:textId="0B66BC7C" w:rsidR="00031E79" w:rsidRPr="00442D9E" w:rsidRDefault="00031E79" w:rsidP="004A48F7">
      <w:pPr>
        <w:pStyle w:val="Heading2"/>
        <w:numPr>
          <w:ilvl w:val="1"/>
          <w:numId w:val="7"/>
        </w:numPr>
        <w:rPr>
          <w:rFonts w:ascii="Arial" w:hAnsi="Arial" w:cs="Arial"/>
        </w:rPr>
      </w:pPr>
      <w:bookmarkStart w:id="77" w:name="_Toc138151598"/>
      <w:bookmarkStart w:id="78" w:name="_Toc138173808"/>
      <w:bookmarkStart w:id="79" w:name="_Toc146813401"/>
      <w:bookmarkStart w:id="80" w:name="_Toc150160963"/>
      <w:bookmarkStart w:id="81" w:name="_Toc163737189"/>
      <w:r w:rsidRPr="7626DB2E">
        <w:rPr>
          <w:rFonts w:ascii="Arial" w:hAnsi="Arial" w:cs="Arial"/>
        </w:rPr>
        <w:t xml:space="preserve">Integrated </w:t>
      </w:r>
      <w:bookmarkEnd w:id="77"/>
      <w:bookmarkEnd w:id="78"/>
      <w:r w:rsidRPr="7626DB2E">
        <w:rPr>
          <w:rFonts w:ascii="Arial" w:hAnsi="Arial" w:cs="Arial"/>
        </w:rPr>
        <w:t>primary care</w:t>
      </w:r>
      <w:bookmarkEnd w:id="79"/>
      <w:bookmarkEnd w:id="80"/>
      <w:bookmarkEnd w:id="81"/>
      <w:r w:rsidRPr="7626DB2E">
        <w:rPr>
          <w:rFonts w:ascii="Arial" w:hAnsi="Arial" w:cs="Arial"/>
        </w:rPr>
        <w:t xml:space="preserve">  </w:t>
      </w:r>
    </w:p>
    <w:bookmarkEnd w:id="76"/>
    <w:p w14:paraId="1930553C" w14:textId="4ED7CCC7" w:rsidR="00031E79" w:rsidRPr="00442D9E" w:rsidRDefault="00031E79" w:rsidP="00522C41">
      <w:pPr>
        <w:jc w:val="both"/>
        <w:rPr>
          <w:rFonts w:cs="Arial"/>
          <w:color w:val="000000" w:themeColor="text1"/>
          <w:sz w:val="22"/>
          <w:szCs w:val="22"/>
        </w:rPr>
      </w:pPr>
    </w:p>
    <w:p w14:paraId="0E1FD481" w14:textId="67F1B58D" w:rsidR="00031E79" w:rsidRPr="00442D9E" w:rsidRDefault="00031E79" w:rsidP="00A60E43">
      <w:pPr>
        <w:jc w:val="both"/>
        <w:rPr>
          <w:rFonts w:cs="Arial"/>
          <w:color w:val="000000" w:themeColor="text1"/>
          <w:sz w:val="22"/>
          <w:szCs w:val="22"/>
        </w:rPr>
      </w:pPr>
      <w:r w:rsidRPr="00442D9E">
        <w:rPr>
          <w:rFonts w:cs="Arial"/>
          <w:color w:val="000000" w:themeColor="text1"/>
          <w:sz w:val="22"/>
          <w:szCs w:val="22"/>
        </w:rPr>
        <w:t>To achieve the goal of integrated person-centred systems for better sexual health for all, public sexual health systems and the management of sexual health in primary care must be strengthened. Further integration and innovations, such as from new technologies and approaches, can ensure that no opportunities are missed for promoting sexual health and enabling timely access to testing for, and management of, STI associated with significant morbidity.</w:t>
      </w:r>
    </w:p>
    <w:p w14:paraId="7CD25038" w14:textId="77777777" w:rsidR="00031E79" w:rsidRPr="00442D9E" w:rsidRDefault="00031E79" w:rsidP="00522C41">
      <w:pPr>
        <w:jc w:val="both"/>
        <w:rPr>
          <w:rFonts w:cs="Arial"/>
          <w:color w:val="000000" w:themeColor="text1"/>
          <w:sz w:val="22"/>
          <w:szCs w:val="22"/>
        </w:rPr>
      </w:pPr>
      <w:bookmarkStart w:id="82" w:name="_Hlk138761825"/>
    </w:p>
    <w:p w14:paraId="08686F68" w14:textId="0325AF37"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Primary healthcare, including sexual health services, makes a significant contribution to diagnosis, treatment, care, support</w:t>
      </w:r>
      <w:r w:rsidR="008347D2">
        <w:rPr>
          <w:rFonts w:cs="Arial"/>
          <w:color w:val="000000" w:themeColor="text1"/>
          <w:sz w:val="22"/>
          <w:szCs w:val="22"/>
        </w:rPr>
        <w:t>,</w:t>
      </w:r>
      <w:r w:rsidRPr="00442D9E">
        <w:rPr>
          <w:rFonts w:cs="Arial"/>
          <w:color w:val="000000" w:themeColor="text1"/>
          <w:sz w:val="22"/>
          <w:szCs w:val="22"/>
        </w:rPr>
        <w:t xml:space="preserve"> and management of STI. It is essential to engage and support primary care and sexual healthcare providers, with a focus on</w:t>
      </w:r>
      <w:r w:rsidR="00CF66D6" w:rsidRPr="00442D9E">
        <w:rPr>
          <w:rFonts w:cs="Arial"/>
          <w:color w:val="000000" w:themeColor="text1"/>
          <w:sz w:val="22"/>
          <w:szCs w:val="22"/>
        </w:rPr>
        <w:t xml:space="preserve"> </w:t>
      </w:r>
      <w:r w:rsidR="00526F4E" w:rsidRPr="00442D9E">
        <w:rPr>
          <w:rFonts w:cs="Arial"/>
          <w:color w:val="000000" w:themeColor="text1"/>
          <w:sz w:val="22"/>
          <w:szCs w:val="22"/>
        </w:rPr>
        <w:t>GPs</w:t>
      </w:r>
      <w:r w:rsidRPr="00442D9E">
        <w:rPr>
          <w:rFonts w:cs="Arial"/>
          <w:color w:val="000000" w:themeColor="text1"/>
          <w:sz w:val="22"/>
          <w:szCs w:val="22"/>
        </w:rPr>
        <w:t>, to integrate STI testing, treatment, management</w:t>
      </w:r>
      <w:r w:rsidR="00242ADD">
        <w:rPr>
          <w:rFonts w:cs="Arial"/>
          <w:color w:val="000000" w:themeColor="text1"/>
          <w:sz w:val="22"/>
          <w:szCs w:val="22"/>
        </w:rPr>
        <w:t>,</w:t>
      </w:r>
      <w:r w:rsidRPr="00442D9E">
        <w:rPr>
          <w:rFonts w:cs="Arial"/>
          <w:color w:val="000000" w:themeColor="text1"/>
          <w:sz w:val="22"/>
          <w:szCs w:val="22"/>
        </w:rPr>
        <w:t xml:space="preserve"> and partner notification as part of routine care. Timely and appropriate treatment and care of priority populations and their sexual partners must be improved and supported by localised health pathways and referrals. Opportunities for integration with existing services include offering STI testing alongside appropriate routine activities (for example, during visits for contraception, general health checks, antenatal visits</w:t>
      </w:r>
      <w:r w:rsidR="00AD278A">
        <w:rPr>
          <w:rFonts w:cs="Arial"/>
          <w:color w:val="000000" w:themeColor="text1"/>
          <w:sz w:val="22"/>
          <w:szCs w:val="22"/>
        </w:rPr>
        <w:t>,</w:t>
      </w:r>
      <w:r w:rsidRPr="00442D9E">
        <w:rPr>
          <w:rFonts w:cs="Arial"/>
          <w:color w:val="000000" w:themeColor="text1"/>
          <w:sz w:val="22"/>
          <w:szCs w:val="22"/>
        </w:rPr>
        <w:t xml:space="preserve"> and appropriate vaccinations).</w:t>
      </w:r>
    </w:p>
    <w:p w14:paraId="2986AA45" w14:textId="77777777" w:rsidR="00031E79" w:rsidRPr="00442D9E" w:rsidRDefault="00031E79" w:rsidP="00522C41">
      <w:pPr>
        <w:pStyle w:val="BodyText"/>
        <w:spacing w:after="0"/>
        <w:jc w:val="both"/>
        <w:rPr>
          <w:rFonts w:cs="Arial"/>
          <w:color w:val="000000" w:themeColor="text1"/>
          <w:sz w:val="22"/>
          <w:szCs w:val="22"/>
        </w:rPr>
      </w:pPr>
    </w:p>
    <w:p w14:paraId="70182E79" w14:textId="77777777" w:rsidR="00265094"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 xml:space="preserve">The early detection and treatment of STI are essential to reduce further transmission and minimise the development of complications. Improvements in contact-tracing activities should be built on, with a particular focus on contact tracing (where appropriate) and partner notifications, and on treatment systems for populations in rural and remote areas, especially areas with mobile populations. </w:t>
      </w:r>
    </w:p>
    <w:p w14:paraId="0F6A68B2" w14:textId="77777777" w:rsidR="00265094" w:rsidRDefault="00265094" w:rsidP="00522C41">
      <w:pPr>
        <w:pStyle w:val="BodyText"/>
        <w:spacing w:after="0"/>
        <w:jc w:val="both"/>
        <w:rPr>
          <w:rFonts w:cs="Arial"/>
          <w:color w:val="000000" w:themeColor="text1"/>
          <w:sz w:val="22"/>
          <w:szCs w:val="22"/>
        </w:rPr>
      </w:pPr>
    </w:p>
    <w:p w14:paraId="2E3EE977" w14:textId="3CF90503"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Reducing STI transmission is dependent on increasing the likelihood of diagnosis and treatment of the sexual contacts of people diagnosed with a STI. Effective partner notification could reduce reinfection rates and allow diagnosis and treatment in people who may not realise they have been exposed to a STI, given that many STI can be asymptomatic.</w:t>
      </w:r>
      <w:r w:rsidR="000A06A1" w:rsidRPr="000A06A1">
        <w:rPr>
          <w:rStyle w:val="None"/>
          <w:rFonts w:cs="Arial"/>
          <w:color w:val="000000" w:themeColor="text1"/>
          <w:sz w:val="22"/>
          <w:szCs w:val="22"/>
          <w:u w:color="000000"/>
          <w:lang w:val="en-US"/>
        </w:rPr>
        <w:t xml:space="preserve"> </w:t>
      </w:r>
      <w:r w:rsidR="000A06A1" w:rsidRPr="00442D9E">
        <w:rPr>
          <w:rStyle w:val="None"/>
          <w:rFonts w:cs="Arial"/>
          <w:color w:val="000000" w:themeColor="text1"/>
          <w:sz w:val="22"/>
          <w:szCs w:val="22"/>
          <w:u w:color="000000"/>
          <w:lang w:val="en-US"/>
        </w:rPr>
        <w:t xml:space="preserve">Contact tracing </w:t>
      </w:r>
      <w:r w:rsidR="005542DC">
        <w:rPr>
          <w:rStyle w:val="None"/>
          <w:rFonts w:cs="Arial"/>
          <w:color w:val="000000" w:themeColor="text1"/>
          <w:sz w:val="22"/>
          <w:szCs w:val="22"/>
          <w:u w:color="000000"/>
          <w:lang w:val="en-US"/>
        </w:rPr>
        <w:t xml:space="preserve">is critical to the control of </w:t>
      </w:r>
      <w:r w:rsidR="00755442">
        <w:rPr>
          <w:rStyle w:val="None"/>
          <w:rFonts w:cs="Arial"/>
          <w:color w:val="000000" w:themeColor="text1"/>
          <w:sz w:val="22"/>
          <w:szCs w:val="22"/>
          <w:u w:color="000000"/>
          <w:lang w:val="en-US"/>
        </w:rPr>
        <w:t>STI and</w:t>
      </w:r>
      <w:r w:rsidR="005542DC">
        <w:rPr>
          <w:rStyle w:val="None"/>
          <w:rFonts w:cs="Arial"/>
          <w:color w:val="000000" w:themeColor="text1"/>
          <w:sz w:val="22"/>
          <w:szCs w:val="22"/>
          <w:u w:color="000000"/>
          <w:lang w:val="en-US"/>
        </w:rPr>
        <w:t xml:space="preserve"> </w:t>
      </w:r>
      <w:r w:rsidR="000A06A1" w:rsidRPr="00442D9E">
        <w:rPr>
          <w:rStyle w:val="None"/>
          <w:rFonts w:cs="Arial"/>
          <w:color w:val="000000" w:themeColor="text1"/>
          <w:sz w:val="22"/>
          <w:szCs w:val="22"/>
          <w:u w:color="000000"/>
          <w:lang w:val="en-US"/>
        </w:rPr>
        <w:t xml:space="preserve">must be sensitive to the cultural </w:t>
      </w:r>
      <w:r w:rsidR="003363C2">
        <w:rPr>
          <w:rStyle w:val="None"/>
          <w:rFonts w:cs="Arial"/>
          <w:color w:val="000000" w:themeColor="text1"/>
          <w:sz w:val="22"/>
          <w:szCs w:val="22"/>
          <w:u w:color="000000"/>
          <w:lang w:val="en-US"/>
        </w:rPr>
        <w:t xml:space="preserve">and physical </w:t>
      </w:r>
      <w:r w:rsidR="000A06A1" w:rsidRPr="00442D9E">
        <w:rPr>
          <w:rStyle w:val="None"/>
          <w:rFonts w:cs="Arial"/>
          <w:color w:val="000000" w:themeColor="text1"/>
          <w:sz w:val="22"/>
          <w:szCs w:val="22"/>
          <w:u w:color="000000"/>
          <w:lang w:val="en-US"/>
        </w:rPr>
        <w:t>safety and privacy concerns of priority populations.</w:t>
      </w:r>
    </w:p>
    <w:p w14:paraId="3E8F5040" w14:textId="77777777" w:rsidR="00031E79" w:rsidRPr="00442D9E" w:rsidRDefault="00031E79" w:rsidP="00522C41">
      <w:pPr>
        <w:pStyle w:val="BodyText"/>
        <w:spacing w:after="0"/>
        <w:jc w:val="both"/>
        <w:rPr>
          <w:rFonts w:cs="Arial"/>
          <w:color w:val="000000" w:themeColor="text1"/>
          <w:sz w:val="22"/>
          <w:szCs w:val="22"/>
        </w:rPr>
      </w:pPr>
    </w:p>
    <w:p w14:paraId="227DB4E2" w14:textId="52FDCB86" w:rsidR="00B4151B" w:rsidRPr="00D74561" w:rsidRDefault="00031E79" w:rsidP="00D74561">
      <w:pPr>
        <w:pStyle w:val="BodyText"/>
        <w:spacing w:before="120" w:after="0"/>
        <w:jc w:val="both"/>
      </w:pPr>
      <w:r w:rsidRPr="00442D9E">
        <w:rPr>
          <w:rFonts w:cs="Arial"/>
          <w:color w:val="000000" w:themeColor="text1"/>
          <w:sz w:val="22"/>
          <w:szCs w:val="22"/>
        </w:rPr>
        <w:t>The use of technologies to better support person-centred care, including telehealth, should be promoted where relevant. It should be used as a foundation to build upon and help tailor the use of technology for preventing, identifying</w:t>
      </w:r>
      <w:r w:rsidR="00C93C0B">
        <w:rPr>
          <w:rFonts w:cs="Arial"/>
          <w:color w:val="000000" w:themeColor="text1"/>
          <w:sz w:val="22"/>
          <w:szCs w:val="22"/>
        </w:rPr>
        <w:t>,</w:t>
      </w:r>
      <w:r w:rsidRPr="00442D9E">
        <w:rPr>
          <w:rFonts w:cs="Arial"/>
          <w:color w:val="000000" w:themeColor="text1"/>
          <w:sz w:val="22"/>
          <w:szCs w:val="22"/>
        </w:rPr>
        <w:t xml:space="preserve"> and treating STI. Strengthening links between HIV and STI testing is important as new testing technologies for HIV are progressing more quickly than new technologies for other BBV and STI. This is particularly important in some priority populations, such as gay, bisexual</w:t>
      </w:r>
      <w:r w:rsidR="00BC1E94">
        <w:rPr>
          <w:rFonts w:cs="Arial"/>
          <w:color w:val="000000" w:themeColor="text1"/>
          <w:sz w:val="22"/>
          <w:szCs w:val="22"/>
        </w:rPr>
        <w:t>,</w:t>
      </w:r>
      <w:r w:rsidRPr="00442D9E">
        <w:rPr>
          <w:rFonts w:cs="Arial"/>
          <w:color w:val="000000" w:themeColor="text1"/>
          <w:sz w:val="22"/>
          <w:szCs w:val="22"/>
        </w:rPr>
        <w:t xml:space="preserve"> and other men who have sex with men.</w:t>
      </w:r>
      <w:r w:rsidR="008B43F1">
        <w:rPr>
          <w:rFonts w:ascii="ZWAdobeF" w:hAnsi="ZWAdobeF" w:cs="ZWAdobeF"/>
          <w:sz w:val="2"/>
          <w:szCs w:val="2"/>
        </w:rPr>
        <w:t>107F</w:t>
      </w:r>
      <w:r w:rsidRPr="00442D9E">
        <w:rPr>
          <w:rStyle w:val="EndnoteReference"/>
          <w:rFonts w:cs="Arial"/>
          <w:color w:val="000000" w:themeColor="text1"/>
          <w:sz w:val="22"/>
          <w:szCs w:val="22"/>
        </w:rPr>
        <w:endnoteReference w:id="107"/>
      </w:r>
      <w:r w:rsidR="3617DD9C" w:rsidRPr="3FAB8C5E">
        <w:rPr>
          <w:rStyle w:val="EndnoteReference"/>
          <w:rFonts w:cs="Arial"/>
          <w:color w:val="000000" w:themeColor="text1"/>
          <w:sz w:val="22"/>
          <w:szCs w:val="22"/>
        </w:rPr>
        <w:t xml:space="preserve"> </w:t>
      </w:r>
      <w:r w:rsidR="3617DD9C" w:rsidRPr="00ED0E53">
        <w:t xml:space="preserve">As new technologies come to the fore, it will be important to develop safeguards to ensure the regulation </w:t>
      </w:r>
      <w:r w:rsidR="67E9F683" w:rsidRPr="00ED0E53">
        <w:t>of data, privacy and confidentiality.</w:t>
      </w:r>
    </w:p>
    <w:p w14:paraId="59535AE2" w14:textId="160B3E6A" w:rsidR="00B4151B" w:rsidRPr="00442D9E" w:rsidRDefault="00B4151B" w:rsidP="00522C41">
      <w:pPr>
        <w:pStyle w:val="BodyText"/>
        <w:spacing w:after="0"/>
        <w:jc w:val="both"/>
        <w:rPr>
          <w:rFonts w:cs="Arial"/>
          <w:color w:val="000000" w:themeColor="text1"/>
          <w:sz w:val="22"/>
          <w:szCs w:val="22"/>
        </w:rPr>
      </w:pPr>
      <w:r w:rsidRPr="00B4151B">
        <w:rPr>
          <w:rFonts w:cs="Arial"/>
          <w:noProof/>
          <w:color w:val="000000" w:themeColor="text1"/>
          <w:sz w:val="22"/>
          <w:szCs w:val="22"/>
        </w:rPr>
        <w:lastRenderedPageBreak/>
        <mc:AlternateContent>
          <mc:Choice Requires="wps">
            <w:drawing>
              <wp:inline distT="0" distB="0" distL="0" distR="0" wp14:anchorId="48662CC4" wp14:editId="3E1406B3">
                <wp:extent cx="6106601" cy="1404620"/>
                <wp:effectExtent l="19050" t="19050" r="27940" b="27940"/>
                <wp:docPr id="1166479064" name="Text Box 1166479064" descr="P763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601" cy="1404620"/>
                        </a:xfrm>
                        <a:prstGeom prst="rect">
                          <a:avLst/>
                        </a:prstGeom>
                        <a:solidFill>
                          <a:schemeClr val="accent2">
                            <a:lumMod val="20000"/>
                            <a:lumOff val="80000"/>
                            <a:alpha val="75000"/>
                          </a:schemeClr>
                        </a:solidFill>
                        <a:ln w="28575">
                          <a:solidFill>
                            <a:srgbClr val="FE9648">
                              <a:alpha val="74902"/>
                            </a:srgbClr>
                          </a:solidFill>
                          <a:miter lim="800000"/>
                          <a:headEnd/>
                          <a:tailEnd/>
                        </a:ln>
                      </wps:spPr>
                      <wps:txbx>
                        <w:txbxContent>
                          <w:p w14:paraId="66A21777" w14:textId="65BAB071"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6CCFE1D0" w14:textId="2E1246B1" w:rsidR="00894F38" w:rsidRPr="00C01956" w:rsidRDefault="00894F38" w:rsidP="003B2996">
                            <w:pPr>
                              <w:spacing w:after="120"/>
                            </w:pPr>
                            <w:r w:rsidRPr="00C01956">
                              <w:t>Two case studies of initiatives implemented by the Melbourne Sexual Health Centre (MSHC) showcase opportunities for integrated primary care. A study that evaluated a decentralised hub and spoke model that was implemented in 2020 to deliver HIV and STI services found this model led to a sustained increase in HIV and STI testing in the year to July 2021. GPs were found to be well placed to deliver sexual healthcare, including primary care HIV testing and treatment as the ‘spokes’ in the model, with specialist services providing the training through the hub and spoke model.</w:t>
                            </w:r>
                          </w:p>
                          <w:p w14:paraId="67D0A3CC" w14:textId="5ED68D63" w:rsidR="00894F38" w:rsidRPr="003B2996" w:rsidRDefault="00894F38" w:rsidP="003B2996">
                            <w:pPr>
                              <w:spacing w:after="120"/>
                            </w:pPr>
                            <w:r w:rsidRPr="00C01956">
                              <w:t>A pilot study of a joint initiative between MSCH and the Centre for Excellence in Rural Sexual Health on STI vending machines that dispense free self-testing kits for chlamydia and gonorrhoea will determine success through participant satisfaction and any demonstrable uptake of testing from people who routinely do not test or who have never tested. The vending machines will be located in rural areas that lack health services or where there may be barriers to access. Buy in from health professionals in the community is considered crucial, as although the vending machines can help address access barriers, they cannot offer local health promotion and treatment advice. The pilot started in March 2023 and will run for a period of one year. See</w:t>
                            </w:r>
                            <w:hyperlink w:anchor="_Appendix_A:_CASE" w:history="1">
                              <w:r w:rsidRPr="00C01956">
                                <w:rPr>
                                  <w:rStyle w:val="Hyperlink"/>
                                </w:rPr>
                                <w:t xml:space="preserve"> Appendix A</w:t>
                              </w:r>
                            </w:hyperlink>
                            <w:r w:rsidRPr="00C01956">
                              <w:t xml:space="preserve"> for further detail on these case studies.</w:t>
                            </w:r>
                          </w:p>
                        </w:txbxContent>
                      </wps:txbx>
                      <wps:bodyPr rot="0" vert="horz" wrap="square" lIns="144000" tIns="144000" rIns="144000" bIns="144000" anchor="t" anchorCtr="0">
                        <a:spAutoFit/>
                      </wps:bodyPr>
                    </wps:wsp>
                  </a:graphicData>
                </a:graphic>
              </wp:inline>
            </w:drawing>
          </mc:Choice>
          <mc:Fallback>
            <w:pict>
              <v:shape w14:anchorId="48662CC4" id="Text Box 1166479064" o:spid="_x0000_s1037" type="#_x0000_t202" alt="P763TB12#y1" style="width:480.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" fillcolor="#fbe4d5 [661]" strokecolor="#fe9648" strokeweight="2.25pt">
                <v:fill opacity="49087f"/>
                <v:stroke opacity="49087f"/>
                <v:textbox style="mso-fit-shape-to-text:t" inset="4mm,4mm,4mm,4mm">
                  <w:txbxContent>
                    <w:p w14:paraId="66A21777" w14:textId="65BAB071"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6CCFE1D0" w14:textId="2E1246B1" w:rsidR="00894F38" w:rsidRPr="00C01956" w:rsidRDefault="00894F38" w:rsidP="003B2996">
                      <w:pPr>
                        <w:spacing w:after="120"/>
                      </w:pPr>
                      <w:r w:rsidRPr="00C01956">
                        <w:t>Two case studies of initiatives implemented by the Melbourne Sexual Health Centre (MSHC) showcase opportunities for integrated primary care. A study that evaluated a decentralised hub and spoke model that was implemented in 2020 to deliver HIV and STI services found this model led to a sustained increase in HIV and STI testing in the year to July 2021. GPs were found to be well placed to deliver sexual healthcare, including primary care HIV testing and treatment as the ‘spokes’ in the model, with specialist services providing the training through the hub and spoke model.</w:t>
                      </w:r>
                    </w:p>
                    <w:p w14:paraId="67D0A3CC" w14:textId="5ED68D63" w:rsidR="00894F38" w:rsidRPr="003B2996" w:rsidRDefault="00894F38" w:rsidP="003B2996">
                      <w:pPr>
                        <w:spacing w:after="120"/>
                      </w:pPr>
                      <w:r w:rsidRPr="00C01956">
                        <w:t>A pilot study of a joint initiative between MSCH and the Centre for Excellence in Rural Sexual Health on STI vending machines that dispense free self-testing kits for chlamydia and gonorrhoea will determine success through participant satisfaction and any demonstrable uptake of testing from people who routinely do not test or who have never tested. The vending machines will be located in rural areas that lack health services or where there may be barriers to access. Buy in from health professionals in the community is considered crucial, as although the vending machines can help address access barriers, they cannot offer local health promotion and treatment advice. The pilot started in March 2023 and will run for a period of one year. See</w:t>
                      </w:r>
                      <w:hyperlink w:anchor="_Appendix_A:_CASE" w:history="1">
                        <w:r w:rsidRPr="00C01956">
                          <w:rPr>
                            <w:rStyle w:val="Hyperlink"/>
                          </w:rPr>
                          <w:t xml:space="preserve"> Appendix A</w:t>
                        </w:r>
                      </w:hyperlink>
                      <w:r w:rsidRPr="00C01956">
                        <w:t xml:space="preserve"> for further detail on these case studies.</w:t>
                      </w:r>
                    </w:p>
                  </w:txbxContent>
                </v:textbox>
                <w10:anchorlock/>
              </v:shape>
            </w:pict>
          </mc:Fallback>
        </mc:AlternateContent>
      </w:r>
    </w:p>
    <w:p w14:paraId="0889858F" w14:textId="77777777" w:rsidR="00A72178" w:rsidRPr="00442D9E" w:rsidRDefault="00A72178" w:rsidP="00522C41">
      <w:pPr>
        <w:jc w:val="both"/>
        <w:rPr>
          <w:rFonts w:cs="Arial"/>
          <w:color w:val="000000" w:themeColor="text1"/>
          <w:sz w:val="22"/>
          <w:szCs w:val="22"/>
        </w:rPr>
      </w:pPr>
    </w:p>
    <w:p w14:paraId="562D9FBE" w14:textId="1533EA55" w:rsidR="00031E79" w:rsidRPr="00442D9E" w:rsidRDefault="00A72178" w:rsidP="00A72178">
      <w:pPr>
        <w:pStyle w:val="Caption"/>
        <w:rPr>
          <w:rFonts w:cs="Arial"/>
          <w:b w:val="0"/>
          <w:color w:val="000000" w:themeColor="text1"/>
          <w:szCs w:val="22"/>
          <w:lang w:val="en-AU"/>
        </w:rPr>
      </w:pPr>
      <w:r>
        <w:t xml:space="preserve">Table </w:t>
      </w:r>
      <w:r>
        <w:fldChar w:fldCharType="begin"/>
      </w:r>
      <w:r>
        <w:instrText xml:space="preserve"> SEQ Table \* ARABIC </w:instrText>
      </w:r>
      <w:r>
        <w:fldChar w:fldCharType="separate"/>
      </w:r>
      <w:r w:rsidR="00853142">
        <w:rPr>
          <w:noProof/>
        </w:rPr>
        <w:t>3</w:t>
      </w:r>
      <w:r>
        <w:fldChar w:fldCharType="end"/>
      </w:r>
      <w:r>
        <w:t xml:space="preserve">: </w:t>
      </w:r>
      <w:r w:rsidRPr="007656AA">
        <w:t>K</w:t>
      </w:r>
      <w:r>
        <w:t>ey areas for action</w:t>
      </w:r>
      <w:r w:rsidRPr="007656AA">
        <w:t xml:space="preserve"> – Integrated primary care</w:t>
      </w:r>
    </w:p>
    <w:tbl>
      <w:tblPr>
        <w:tblW w:w="0" w:type="auto"/>
        <w:tblBorders>
          <w:top w:val="single" w:sz="8" w:space="0" w:color="F7941D"/>
          <w:left w:val="single" w:sz="8" w:space="0" w:color="F7941D"/>
          <w:bottom w:val="single" w:sz="8" w:space="0" w:color="F7941D"/>
          <w:right w:val="single" w:sz="8" w:space="0" w:color="F7941D"/>
          <w:insideH w:val="single" w:sz="8" w:space="0" w:color="F7941D"/>
          <w:insideV w:val="single" w:sz="8" w:space="0" w:color="F7941D"/>
        </w:tblBorders>
        <w:tblLayout w:type="fixed"/>
        <w:tblCellMar>
          <w:left w:w="170" w:type="dxa"/>
          <w:right w:w="170" w:type="dxa"/>
        </w:tblCellMar>
        <w:tblLook w:val="0000" w:firstRow="0" w:lastRow="0" w:firstColumn="0" w:lastColumn="0" w:noHBand="0" w:noVBand="0"/>
      </w:tblPr>
      <w:tblGrid>
        <w:gridCol w:w="983"/>
        <w:gridCol w:w="8629"/>
      </w:tblGrid>
      <w:tr w:rsidR="00C45273" w14:paraId="0B4F738F" w14:textId="77777777" w:rsidTr="00952A93">
        <w:tc>
          <w:tcPr>
            <w:tcW w:w="9612" w:type="dxa"/>
            <w:gridSpan w:val="2"/>
            <w:shd w:val="clear" w:color="auto" w:fill="FE9648"/>
          </w:tcPr>
          <w:p w14:paraId="5A79BCDE" w14:textId="4FE613D4" w:rsidR="00C45273" w:rsidRPr="00952A93" w:rsidRDefault="00C45273" w:rsidP="00C45273">
            <w:pPr>
              <w:pStyle w:val="BodyText"/>
              <w:spacing w:before="120"/>
              <w:jc w:val="both"/>
              <w:rPr>
                <w:rFonts w:cs="Arial"/>
                <w:b/>
                <w:bCs/>
                <w:color w:val="000000"/>
                <w:sz w:val="22"/>
                <w:szCs w:val="22"/>
              </w:rPr>
            </w:pPr>
            <w:r w:rsidRPr="00952A93">
              <w:rPr>
                <w:rFonts w:cs="Arial"/>
                <w:b/>
                <w:bCs/>
                <w:color w:val="000000"/>
                <w:sz w:val="22"/>
                <w:szCs w:val="22"/>
              </w:rPr>
              <w:t xml:space="preserve">KEY AREAS FOR ACTION – Integrated primary care  </w:t>
            </w:r>
          </w:p>
        </w:tc>
      </w:tr>
      <w:tr w:rsidR="00B038EB" w14:paraId="1C759682" w14:textId="77777777" w:rsidTr="002B7B78">
        <w:tc>
          <w:tcPr>
            <w:tcW w:w="983" w:type="dxa"/>
            <w:tcBorders>
              <w:right w:val="nil"/>
            </w:tcBorders>
          </w:tcPr>
          <w:p w14:paraId="3E1E0FFA" w14:textId="39E8C6EA" w:rsidR="00B038EB" w:rsidRPr="00212EF1" w:rsidRDefault="006F10A1" w:rsidP="00771B0D">
            <w:pPr>
              <w:pStyle w:val="BodyText"/>
              <w:spacing w:before="120"/>
              <w:jc w:val="center"/>
              <w:rPr>
                <w:rFonts w:cs="Arial"/>
                <w:b/>
                <w:bCs/>
                <w:color w:val="F7941D"/>
                <w:sz w:val="56"/>
                <w:szCs w:val="56"/>
              </w:rPr>
            </w:pPr>
            <w:r w:rsidRPr="00212EF1">
              <w:rPr>
                <w:rFonts w:cs="Arial"/>
                <w:b/>
                <w:bCs/>
                <w:color w:val="F7941D"/>
                <w:sz w:val="56"/>
                <w:szCs w:val="56"/>
              </w:rPr>
              <w:t>1</w:t>
            </w:r>
          </w:p>
        </w:tc>
        <w:tc>
          <w:tcPr>
            <w:tcW w:w="8629" w:type="dxa"/>
            <w:tcBorders>
              <w:left w:val="nil"/>
            </w:tcBorders>
            <w:vAlign w:val="center"/>
          </w:tcPr>
          <w:p w14:paraId="2257C6E2" w14:textId="7FFBC1F9" w:rsidR="00B038EB" w:rsidRPr="00212EF1" w:rsidRDefault="63F34DAF" w:rsidP="002B7B78">
            <w:pPr>
              <w:pStyle w:val="BodyText"/>
              <w:spacing w:before="120"/>
              <w:rPr>
                <w:rFonts w:cs="Arial"/>
                <w:b/>
                <w:bCs/>
                <w:color w:val="000000" w:themeColor="text1"/>
                <w:sz w:val="22"/>
                <w:szCs w:val="22"/>
              </w:rPr>
            </w:pPr>
            <w:r w:rsidRPr="47133F09">
              <w:rPr>
                <w:rFonts w:cs="Arial"/>
                <w:color w:val="000000" w:themeColor="text1"/>
                <w:sz w:val="22"/>
                <w:szCs w:val="22"/>
              </w:rPr>
              <w:t xml:space="preserve">Improve </w:t>
            </w:r>
            <w:r w:rsidR="00341934">
              <w:rPr>
                <w:rFonts w:cs="Arial"/>
                <w:color w:val="000000" w:themeColor="text1"/>
                <w:sz w:val="22"/>
                <w:szCs w:val="22"/>
              </w:rPr>
              <w:t xml:space="preserve">coverage of </w:t>
            </w:r>
            <w:r w:rsidRPr="47133F09">
              <w:rPr>
                <w:rFonts w:cs="Arial"/>
                <w:color w:val="000000" w:themeColor="text1"/>
                <w:sz w:val="22"/>
                <w:szCs w:val="22"/>
              </w:rPr>
              <w:t xml:space="preserve">sexual health services, particularly in rural, regional, and remote areas with a high proportion of young people (ages 15-24) by enhancing health infrastructure and building a multidisciplinary workforce capable of effectively responding to outbreaks, epidemics and prolonged transmission.  </w:t>
            </w:r>
          </w:p>
        </w:tc>
      </w:tr>
      <w:tr w:rsidR="00B038EB" w14:paraId="110E61C9" w14:textId="77777777" w:rsidTr="002B7B78">
        <w:tc>
          <w:tcPr>
            <w:tcW w:w="983" w:type="dxa"/>
            <w:tcBorders>
              <w:right w:val="nil"/>
            </w:tcBorders>
          </w:tcPr>
          <w:p w14:paraId="0BF1988A" w14:textId="01BCA009" w:rsidR="00B038EB" w:rsidRPr="00771B0D" w:rsidRDefault="00091840" w:rsidP="00771B0D">
            <w:pPr>
              <w:pStyle w:val="BodyText"/>
              <w:spacing w:before="120"/>
              <w:jc w:val="center"/>
              <w:rPr>
                <w:rFonts w:cs="Arial"/>
                <w:b/>
                <w:bCs/>
                <w:color w:val="F7941D"/>
                <w:sz w:val="56"/>
                <w:szCs w:val="56"/>
              </w:rPr>
            </w:pPr>
            <w:r>
              <w:rPr>
                <w:rFonts w:cs="Arial"/>
                <w:b/>
                <w:bCs/>
                <w:color w:val="F7941D"/>
                <w:sz w:val="56"/>
                <w:szCs w:val="56"/>
              </w:rPr>
              <w:t>2</w:t>
            </w:r>
          </w:p>
        </w:tc>
        <w:tc>
          <w:tcPr>
            <w:tcW w:w="8629" w:type="dxa"/>
            <w:tcBorders>
              <w:left w:val="nil"/>
            </w:tcBorders>
            <w:vAlign w:val="center"/>
          </w:tcPr>
          <w:p w14:paraId="4E759CD4" w14:textId="0539C212" w:rsidR="00B038EB" w:rsidRPr="00A03AB8" w:rsidRDefault="5ECAF6A3" w:rsidP="002B7B78">
            <w:pPr>
              <w:pStyle w:val="BodyText"/>
              <w:spacing w:before="120"/>
              <w:rPr>
                <w:rFonts w:cs="Arial"/>
                <w:b/>
                <w:bCs/>
                <w:color w:val="000000" w:themeColor="text1"/>
                <w:sz w:val="22"/>
                <w:szCs w:val="22"/>
              </w:rPr>
            </w:pPr>
            <w:r w:rsidRPr="59CC2EE5">
              <w:rPr>
                <w:rFonts w:cs="Arial"/>
                <w:sz w:val="22"/>
                <w:szCs w:val="22"/>
              </w:rPr>
              <w:t>E</w:t>
            </w:r>
            <w:r w:rsidR="00B038EB" w:rsidRPr="59CC2EE5">
              <w:rPr>
                <w:rFonts w:cs="Arial"/>
                <w:sz w:val="22"/>
                <w:szCs w:val="22"/>
              </w:rPr>
              <w:t>ngage</w:t>
            </w:r>
            <w:r w:rsidR="00B038EB" w:rsidRPr="003F5976">
              <w:rPr>
                <w:rFonts w:cs="Arial"/>
                <w:sz w:val="22"/>
                <w:szCs w:val="22"/>
              </w:rPr>
              <w:t xml:space="preserve"> young people in timely STI screening, prevention and treatment and co-design systems to maintain the connection with GPs as they get older.</w:t>
            </w:r>
          </w:p>
        </w:tc>
      </w:tr>
      <w:tr w:rsidR="00B038EB" w14:paraId="3DA8A800" w14:textId="77777777" w:rsidTr="002B7B78">
        <w:tc>
          <w:tcPr>
            <w:tcW w:w="983" w:type="dxa"/>
            <w:tcBorders>
              <w:right w:val="nil"/>
            </w:tcBorders>
          </w:tcPr>
          <w:p w14:paraId="6FCA1DA7" w14:textId="13D6F18D" w:rsidR="00B038EB" w:rsidRPr="00771B0D" w:rsidRDefault="00091840" w:rsidP="00771B0D">
            <w:pPr>
              <w:pStyle w:val="BodyText"/>
              <w:spacing w:before="120"/>
              <w:jc w:val="center"/>
              <w:rPr>
                <w:rFonts w:cs="Arial"/>
                <w:b/>
                <w:bCs/>
                <w:color w:val="F7941D"/>
                <w:sz w:val="56"/>
                <w:szCs w:val="56"/>
              </w:rPr>
            </w:pPr>
            <w:r>
              <w:rPr>
                <w:rFonts w:cs="Arial"/>
                <w:b/>
                <w:bCs/>
                <w:color w:val="F7941D"/>
                <w:sz w:val="56"/>
                <w:szCs w:val="56"/>
              </w:rPr>
              <w:t>3</w:t>
            </w:r>
          </w:p>
        </w:tc>
        <w:tc>
          <w:tcPr>
            <w:tcW w:w="8629" w:type="dxa"/>
            <w:tcBorders>
              <w:left w:val="nil"/>
            </w:tcBorders>
            <w:vAlign w:val="center"/>
          </w:tcPr>
          <w:p w14:paraId="37E0945E" w14:textId="26678EF3" w:rsidR="00B038EB" w:rsidRPr="00A03AB8" w:rsidRDefault="00B56CDC" w:rsidP="002B7B78">
            <w:pPr>
              <w:pStyle w:val="BodyText"/>
              <w:spacing w:before="120"/>
              <w:rPr>
                <w:rFonts w:cs="Arial"/>
                <w:b/>
                <w:bCs/>
                <w:color w:val="000000" w:themeColor="text1"/>
                <w:sz w:val="22"/>
                <w:szCs w:val="22"/>
              </w:rPr>
            </w:pPr>
            <w:r>
              <w:rPr>
                <w:rFonts w:cs="Arial"/>
                <w:sz w:val="22"/>
                <w:szCs w:val="22"/>
              </w:rPr>
              <w:t>Reduce risk</w:t>
            </w:r>
            <w:r w:rsidR="0036079A">
              <w:rPr>
                <w:rFonts w:cs="Arial"/>
                <w:sz w:val="22"/>
                <w:szCs w:val="22"/>
              </w:rPr>
              <w:t xml:space="preserve"> of syphilis </w:t>
            </w:r>
            <w:r w:rsidR="005A5905" w:rsidRPr="0E322EBF">
              <w:rPr>
                <w:rFonts w:cs="Arial"/>
                <w:sz w:val="22"/>
                <w:szCs w:val="22"/>
              </w:rPr>
              <w:t>during pregnancy to minimise harm to unborn babies and eliminate congenital syphilis</w:t>
            </w:r>
            <w:r w:rsidR="0036079A">
              <w:rPr>
                <w:rFonts w:cs="Arial"/>
                <w:sz w:val="22"/>
                <w:szCs w:val="22"/>
              </w:rPr>
              <w:t xml:space="preserve"> </w:t>
            </w:r>
            <w:r w:rsidR="005A5905">
              <w:rPr>
                <w:rFonts w:cs="Arial"/>
                <w:sz w:val="22"/>
                <w:szCs w:val="22"/>
              </w:rPr>
              <w:t>through p</w:t>
            </w:r>
            <w:r w:rsidR="005A5905" w:rsidRPr="345A2BC2">
              <w:rPr>
                <w:rFonts w:cs="Arial"/>
                <w:sz w:val="22"/>
                <w:szCs w:val="22"/>
              </w:rPr>
              <w:t>roviding</w:t>
            </w:r>
            <w:r w:rsidR="005A5905" w:rsidRPr="0E322EBF">
              <w:rPr>
                <w:rFonts w:cs="Arial"/>
                <w:sz w:val="22"/>
                <w:szCs w:val="22"/>
              </w:rPr>
              <w:t xml:space="preserve"> </w:t>
            </w:r>
            <w:r w:rsidR="000C32C4">
              <w:rPr>
                <w:rFonts w:cs="Arial"/>
                <w:sz w:val="22"/>
                <w:szCs w:val="22"/>
              </w:rPr>
              <w:t xml:space="preserve">support </w:t>
            </w:r>
            <w:r w:rsidR="005A5905">
              <w:rPr>
                <w:rFonts w:cs="Arial"/>
                <w:sz w:val="22"/>
                <w:szCs w:val="22"/>
              </w:rPr>
              <w:t xml:space="preserve">to the health workforce, increasing </w:t>
            </w:r>
            <w:r w:rsidR="005A5905" w:rsidRPr="0E322EBF">
              <w:rPr>
                <w:rFonts w:cs="Arial"/>
                <w:sz w:val="22"/>
                <w:szCs w:val="22"/>
              </w:rPr>
              <w:t xml:space="preserve">partner </w:t>
            </w:r>
            <w:r w:rsidR="005A5905">
              <w:rPr>
                <w:rFonts w:cs="Arial"/>
                <w:sz w:val="22"/>
                <w:szCs w:val="22"/>
              </w:rPr>
              <w:t xml:space="preserve">testing, and </w:t>
            </w:r>
            <w:r w:rsidR="000C32C4">
              <w:rPr>
                <w:rFonts w:cs="Arial"/>
                <w:sz w:val="22"/>
                <w:szCs w:val="22"/>
              </w:rPr>
              <w:t xml:space="preserve">improving accessibility of </w:t>
            </w:r>
            <w:r w:rsidR="003A32F7">
              <w:rPr>
                <w:rFonts w:cs="Arial"/>
                <w:sz w:val="22"/>
                <w:szCs w:val="22"/>
              </w:rPr>
              <w:t xml:space="preserve">antenatal </w:t>
            </w:r>
            <w:r w:rsidR="005A5905">
              <w:rPr>
                <w:rFonts w:cs="Arial"/>
                <w:sz w:val="22"/>
                <w:szCs w:val="22"/>
              </w:rPr>
              <w:t xml:space="preserve">services </w:t>
            </w:r>
            <w:r w:rsidR="005A5905" w:rsidRPr="0E322EBF">
              <w:rPr>
                <w:rFonts w:cs="Arial"/>
                <w:sz w:val="22"/>
                <w:szCs w:val="22"/>
              </w:rPr>
              <w:t>.</w:t>
            </w:r>
          </w:p>
        </w:tc>
      </w:tr>
      <w:tr w:rsidR="00B038EB" w14:paraId="2EE63FBA" w14:textId="77777777" w:rsidTr="002B7B78">
        <w:tc>
          <w:tcPr>
            <w:tcW w:w="983" w:type="dxa"/>
            <w:tcBorders>
              <w:right w:val="nil"/>
            </w:tcBorders>
          </w:tcPr>
          <w:p w14:paraId="698900D7" w14:textId="7289AD3F" w:rsidR="00B038EB" w:rsidRPr="00771B0D" w:rsidRDefault="00091840" w:rsidP="00771B0D">
            <w:pPr>
              <w:pStyle w:val="BodyText"/>
              <w:spacing w:before="120"/>
              <w:jc w:val="center"/>
              <w:rPr>
                <w:rFonts w:cs="Arial"/>
                <w:b/>
                <w:bCs/>
                <w:color w:val="F7941D"/>
                <w:sz w:val="56"/>
                <w:szCs w:val="56"/>
              </w:rPr>
            </w:pPr>
            <w:r>
              <w:rPr>
                <w:rFonts w:cs="Arial"/>
                <w:b/>
                <w:bCs/>
                <w:color w:val="F7941D"/>
                <w:sz w:val="56"/>
                <w:szCs w:val="56"/>
              </w:rPr>
              <w:t>4</w:t>
            </w:r>
          </w:p>
        </w:tc>
        <w:tc>
          <w:tcPr>
            <w:tcW w:w="8629" w:type="dxa"/>
            <w:tcBorders>
              <w:left w:val="nil"/>
            </w:tcBorders>
            <w:vAlign w:val="center"/>
          </w:tcPr>
          <w:p w14:paraId="47F220EF" w14:textId="7066D6DB" w:rsidR="00B038EB" w:rsidRDefault="00E05AB0" w:rsidP="002B7B78">
            <w:pPr>
              <w:pStyle w:val="BodyText"/>
              <w:spacing w:before="120"/>
              <w:rPr>
                <w:rFonts w:cs="Arial"/>
                <w:b/>
                <w:bCs/>
                <w:color w:val="000000" w:themeColor="text1"/>
                <w:sz w:val="22"/>
                <w:szCs w:val="22"/>
              </w:rPr>
            </w:pPr>
            <w:r>
              <w:rPr>
                <w:rFonts w:cs="Arial"/>
                <w:color w:val="000000" w:themeColor="text1"/>
                <w:sz w:val="22"/>
                <w:szCs w:val="22"/>
              </w:rPr>
              <w:t>I</w:t>
            </w:r>
            <w:r w:rsidR="00100D56" w:rsidRPr="5C25DA89">
              <w:rPr>
                <w:rFonts w:cs="Arial"/>
                <w:color w:val="000000" w:themeColor="text1"/>
                <w:sz w:val="22"/>
                <w:szCs w:val="22"/>
              </w:rPr>
              <w:t>ntegrat</w:t>
            </w:r>
            <w:r>
              <w:rPr>
                <w:rFonts w:cs="Arial"/>
                <w:color w:val="000000" w:themeColor="text1"/>
                <w:sz w:val="22"/>
                <w:szCs w:val="22"/>
              </w:rPr>
              <w:t>e</w:t>
            </w:r>
            <w:r w:rsidR="00734950">
              <w:rPr>
                <w:rFonts w:cs="Arial"/>
                <w:color w:val="000000" w:themeColor="text1"/>
                <w:sz w:val="22"/>
                <w:szCs w:val="22"/>
              </w:rPr>
              <w:t xml:space="preserve"> </w:t>
            </w:r>
            <w:r w:rsidR="00100D56" w:rsidRPr="5C25DA89">
              <w:rPr>
                <w:rFonts w:cs="Arial"/>
                <w:color w:val="000000" w:themeColor="text1"/>
                <w:sz w:val="22"/>
                <w:szCs w:val="22"/>
              </w:rPr>
              <w:t>services into priority settings and connecting primary healthcare practitioners with clinical decision support tools</w:t>
            </w:r>
            <w:r w:rsidR="00100D56">
              <w:rPr>
                <w:rFonts w:cs="Arial"/>
                <w:color w:val="000000" w:themeColor="text1"/>
                <w:sz w:val="22"/>
                <w:szCs w:val="22"/>
              </w:rPr>
              <w:t xml:space="preserve">, including </w:t>
            </w:r>
            <w:r w:rsidR="00100D56">
              <w:rPr>
                <w:rFonts w:eastAsia="Wingdings" w:cs="Arial"/>
                <w:sz w:val="22"/>
                <w:szCs w:val="22"/>
              </w:rPr>
              <w:t>s</w:t>
            </w:r>
            <w:r w:rsidR="00100D56" w:rsidRPr="5C25DA89">
              <w:rPr>
                <w:rFonts w:eastAsia="Wingdings" w:cs="Arial"/>
                <w:sz w:val="22"/>
                <w:szCs w:val="22"/>
              </w:rPr>
              <w:t>trengthen</w:t>
            </w:r>
            <w:r w:rsidR="00100D56">
              <w:rPr>
                <w:rFonts w:eastAsia="Wingdings" w:cs="Arial"/>
                <w:sz w:val="22"/>
                <w:szCs w:val="22"/>
              </w:rPr>
              <w:t>ing</w:t>
            </w:r>
            <w:r w:rsidR="00100D56" w:rsidRPr="5C25DA89">
              <w:rPr>
                <w:rFonts w:eastAsia="Wingdings" w:cs="Arial"/>
                <w:sz w:val="22"/>
                <w:szCs w:val="22"/>
              </w:rPr>
              <w:t xml:space="preserve"> a</w:t>
            </w:r>
            <w:r w:rsidR="00100D56" w:rsidRPr="5C25DA89">
              <w:rPr>
                <w:rFonts w:cs="Arial"/>
                <w:sz w:val="22"/>
                <w:szCs w:val="22"/>
              </w:rPr>
              <w:t xml:space="preserve">ccess to services for people ineligible for subsidised care and </w:t>
            </w:r>
            <w:r w:rsidR="00100D56">
              <w:rPr>
                <w:rFonts w:cs="Arial"/>
                <w:sz w:val="22"/>
                <w:szCs w:val="22"/>
              </w:rPr>
              <w:t xml:space="preserve">availability of </w:t>
            </w:r>
            <w:r w:rsidR="00100D56" w:rsidRPr="5C25DA89">
              <w:rPr>
                <w:rFonts w:cs="Arial"/>
                <w:sz w:val="22"/>
                <w:szCs w:val="22"/>
              </w:rPr>
              <w:t>point-of-care testing.</w:t>
            </w:r>
            <w:r w:rsidR="00100D56" w:rsidRPr="5C25DA89">
              <w:rPr>
                <w:rFonts w:cs="Arial"/>
                <w:color w:val="000000" w:themeColor="text1"/>
                <w:sz w:val="22"/>
                <w:szCs w:val="22"/>
              </w:rPr>
              <w:t xml:space="preserve"> </w:t>
            </w:r>
          </w:p>
        </w:tc>
      </w:tr>
    </w:tbl>
    <w:p w14:paraId="5C789D1B" w14:textId="77777777" w:rsidR="00031E79" w:rsidRPr="00442D9E" w:rsidRDefault="00031E79" w:rsidP="00522C41">
      <w:pPr>
        <w:pStyle w:val="BodyText"/>
        <w:spacing w:after="0"/>
        <w:jc w:val="both"/>
        <w:rPr>
          <w:rFonts w:cs="Arial"/>
          <w:b/>
          <w:bCs/>
          <w:color w:val="000000" w:themeColor="text1"/>
          <w:sz w:val="22"/>
          <w:szCs w:val="22"/>
        </w:rPr>
      </w:pPr>
    </w:p>
    <w:p w14:paraId="74BE00CD" w14:textId="0FF73DBF" w:rsidR="00D82E3C" w:rsidRDefault="00031E79" w:rsidP="009C183C">
      <w:pPr>
        <w:rPr>
          <w:rFonts w:cs="Arial"/>
          <w:sz w:val="22"/>
          <w:szCs w:val="22"/>
        </w:rPr>
      </w:pPr>
      <w:bookmarkStart w:id="83" w:name="_Hlk138761846"/>
      <w:bookmarkStart w:id="84" w:name="_Hlk143594914"/>
      <w:bookmarkStart w:id="85" w:name="_Hlk145592713"/>
      <w:bookmarkEnd w:id="82"/>
      <w:r w:rsidRPr="00442D9E">
        <w:rPr>
          <w:rFonts w:cs="Arial"/>
          <w:sz w:val="22"/>
          <w:szCs w:val="22"/>
        </w:rPr>
        <w:t xml:space="preserve">Outcomes expected from this priority area include strengthened STI management in primary healthcare along with integration and innovation to ensure no missed opportunities for promoting </w:t>
      </w:r>
      <w:r w:rsidRPr="004E7A51">
        <w:rPr>
          <w:rFonts w:cs="Arial"/>
          <w:sz w:val="22"/>
          <w:szCs w:val="22"/>
        </w:rPr>
        <w:t xml:space="preserve">sexual health, thereby enabling the achievement of Goal </w:t>
      </w:r>
      <w:r w:rsidR="00A75EE5" w:rsidRPr="004E7A51">
        <w:rPr>
          <w:rFonts w:cs="Arial"/>
          <w:sz w:val="22"/>
          <w:szCs w:val="22"/>
        </w:rPr>
        <w:t xml:space="preserve">2 </w:t>
      </w:r>
      <w:r w:rsidRPr="004E7A51">
        <w:rPr>
          <w:rFonts w:cs="Arial"/>
          <w:sz w:val="22"/>
          <w:szCs w:val="22"/>
        </w:rPr>
        <w:t>(</w:t>
      </w:r>
      <w:r w:rsidRPr="004E7A51">
        <w:rPr>
          <w:rFonts w:cs="Arial"/>
          <w:color w:val="000000" w:themeColor="text1"/>
          <w:sz w:val="22"/>
          <w:szCs w:val="22"/>
        </w:rPr>
        <w:t>integrate</w:t>
      </w:r>
      <w:r w:rsidRPr="00442D9E">
        <w:rPr>
          <w:rFonts w:cs="Arial"/>
          <w:color w:val="000000" w:themeColor="text1"/>
          <w:sz w:val="22"/>
          <w:szCs w:val="22"/>
        </w:rPr>
        <w:t xml:space="preserve"> person-centred systems for better sexual </w:t>
      </w:r>
      <w:r w:rsidR="00433777">
        <w:rPr>
          <w:rFonts w:cs="Arial"/>
          <w:color w:val="000000" w:themeColor="text1"/>
          <w:sz w:val="22"/>
          <w:szCs w:val="22"/>
        </w:rPr>
        <w:t xml:space="preserve">and reproductive </w:t>
      </w:r>
      <w:r w:rsidRPr="00442D9E">
        <w:rPr>
          <w:rFonts w:cs="Arial"/>
          <w:color w:val="000000" w:themeColor="text1"/>
          <w:sz w:val="22"/>
          <w:szCs w:val="22"/>
        </w:rPr>
        <w:t xml:space="preserve">health for all) of this </w:t>
      </w:r>
      <w:r w:rsidR="00904E84">
        <w:rPr>
          <w:rFonts w:cs="Arial"/>
          <w:color w:val="000000" w:themeColor="text1"/>
          <w:sz w:val="22"/>
          <w:szCs w:val="22"/>
        </w:rPr>
        <w:t>S</w:t>
      </w:r>
      <w:r w:rsidRPr="00442D9E">
        <w:rPr>
          <w:rFonts w:cs="Arial"/>
          <w:color w:val="000000" w:themeColor="text1"/>
          <w:sz w:val="22"/>
          <w:szCs w:val="22"/>
        </w:rPr>
        <w:t>trategy</w:t>
      </w:r>
      <w:r w:rsidRPr="00442D9E">
        <w:rPr>
          <w:rFonts w:cs="Arial"/>
          <w:sz w:val="22"/>
          <w:szCs w:val="22"/>
        </w:rPr>
        <w:t xml:space="preserve">. </w:t>
      </w:r>
    </w:p>
    <w:p w14:paraId="40763FC5" w14:textId="3AF8E7F3" w:rsidR="004E2A75" w:rsidRDefault="004E2A75" w:rsidP="201D37F4">
      <w:pPr>
        <w:pStyle w:val="BodyText"/>
      </w:pPr>
    </w:p>
    <w:p w14:paraId="53E14B20" w14:textId="0C78A7B2" w:rsidR="0097601F" w:rsidRPr="0097601F" w:rsidRDefault="0097601F" w:rsidP="00253028">
      <w:pPr>
        <w:pStyle w:val="Body"/>
        <w:rPr>
          <w:rFonts w:eastAsiaTheme="majorEastAsia"/>
          <w:color w:val="000000" w:themeColor="text1"/>
          <w:sz w:val="22"/>
          <w:szCs w:val="22"/>
        </w:rPr>
      </w:pPr>
      <w:bookmarkStart w:id="86" w:name="_Toc146813402"/>
      <w:bookmarkEnd w:id="83"/>
      <w:bookmarkEnd w:id="84"/>
      <w:bookmarkEnd w:id="85"/>
    </w:p>
    <w:p w14:paraId="7D25715C" w14:textId="002D8929" w:rsidR="00FA58D8" w:rsidRPr="00442D9E" w:rsidRDefault="0097601F" w:rsidP="00515EF6">
      <w:pPr>
        <w:pStyle w:val="Heading2"/>
        <w:numPr>
          <w:ilvl w:val="1"/>
          <w:numId w:val="7"/>
        </w:numPr>
        <w:spacing w:before="240"/>
        <w:rPr>
          <w:rFonts w:ascii="Arial" w:hAnsi="Arial" w:cs="Arial"/>
        </w:rPr>
      </w:pPr>
      <w:bookmarkStart w:id="87" w:name="_Toc150160964"/>
      <w:bookmarkStart w:id="88" w:name="_Toc163737190"/>
      <w:r w:rsidRPr="00AE53B7">
        <w:rPr>
          <w:rFonts w:cs="Arial"/>
          <w:noProof/>
          <w:color w:val="ED7D31" w:themeColor="accent2"/>
        </w:rPr>
        <w:lastRenderedPageBreak/>
        <w:drawing>
          <wp:anchor distT="0" distB="0" distL="36195" distR="36195" simplePos="0" relativeHeight="251657248" behindDoc="0" locked="1" layoutInCell="1" allowOverlap="0" wp14:anchorId="62FC853F" wp14:editId="0182B842">
            <wp:simplePos x="0" y="0"/>
            <wp:positionH relativeFrom="page">
              <wp:posOffset>642500</wp:posOffset>
            </wp:positionH>
            <wp:positionV relativeFrom="paragraph">
              <wp:posOffset>-68303</wp:posOffset>
            </wp:positionV>
            <wp:extent cx="259200" cy="259200"/>
            <wp:effectExtent l="0" t="0" r="7620" b="7620"/>
            <wp:wrapNone/>
            <wp:docPr id="1383468837" name="Graphic 1383468837" descr="P78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68837" name="Graphic 1383468837" descr="P784#y1">
                      <a:extLst>
                        <a:ext uri="{C183D7F6-B498-43B3-948B-1728B52AA6E4}">
                          <adec:decorative xmlns:adec="http://schemas.microsoft.com/office/drawing/2017/decorative" val="1"/>
                        </a:ext>
                      </a:extLst>
                    </pic:cNvPr>
                    <pic:cNvPicPr/>
                  </pic:nvPicPr>
                  <pic:blipFill rotWithShape="1">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rcRect l="10025" t="10025" r="10025" b="10025"/>
                    <a:stretch/>
                  </pic:blipFill>
                  <pic:spPr bwMode="auto">
                    <a:xfrm>
                      <a:off x="0" y="0"/>
                      <a:ext cx="259200" cy="25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8D8" w:rsidRPr="00442D9E">
        <w:rPr>
          <w:rFonts w:ascii="Arial" w:hAnsi="Arial" w:cs="Arial"/>
        </w:rPr>
        <w:t>Workforce development</w:t>
      </w:r>
      <w:bookmarkEnd w:id="86"/>
      <w:bookmarkEnd w:id="87"/>
      <w:bookmarkEnd w:id="88"/>
      <w:r w:rsidR="00FA58D8" w:rsidRPr="00442D9E">
        <w:rPr>
          <w:rFonts w:ascii="Arial" w:hAnsi="Arial" w:cs="Arial"/>
        </w:rPr>
        <w:t xml:space="preserve"> </w:t>
      </w:r>
    </w:p>
    <w:p w14:paraId="7C1A95A7" w14:textId="2BE1667F" w:rsidR="00031E79" w:rsidRPr="00442D9E" w:rsidRDefault="00031E79" w:rsidP="00A60E43">
      <w:pPr>
        <w:rPr>
          <w:rFonts w:cs="Arial"/>
        </w:rPr>
      </w:pPr>
    </w:p>
    <w:p w14:paraId="04F70365" w14:textId="6D75B5C2"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A strong multidisciplinary workforce is vital for delivering best practice, age-appropriate and culturally appropriate STI and sexual health education and services across Australia.</w:t>
      </w:r>
      <w:r w:rsidR="008B43F1">
        <w:rPr>
          <w:rFonts w:ascii="ZWAdobeF" w:hAnsi="ZWAdobeF" w:cs="ZWAdobeF"/>
          <w:sz w:val="2"/>
          <w:szCs w:val="2"/>
        </w:rPr>
        <w:t>108F</w:t>
      </w:r>
      <w:r w:rsidRPr="00442D9E">
        <w:rPr>
          <w:rStyle w:val="EndnoteReference"/>
          <w:rFonts w:cs="Arial"/>
          <w:color w:val="000000" w:themeColor="text1"/>
          <w:sz w:val="22"/>
          <w:szCs w:val="22"/>
        </w:rPr>
        <w:endnoteReference w:id="108"/>
      </w:r>
      <w:r w:rsidRPr="00442D9E">
        <w:rPr>
          <w:rFonts w:cs="Arial"/>
          <w:color w:val="000000" w:themeColor="text1"/>
          <w:sz w:val="22"/>
          <w:szCs w:val="22"/>
        </w:rPr>
        <w:t xml:space="preserve"> This workforce includes health and education professionals and community health and peer-based workers from, and who work with, priority populations. There is variability in the level of STI-related knowledge and skills among the primary healthcare workforce and educators. Improved access to training opportunities would support a more consistent and effective response to STI across the country. Ensuring that health professionals have access to the necessary tools and resources to support high-quality sexual healthcare is imperative, as is timely referral and advice between specialist and primary healthcare services.</w:t>
      </w:r>
    </w:p>
    <w:p w14:paraId="1349F364" w14:textId="30157DD3" w:rsidR="00031E79" w:rsidRPr="00442D9E" w:rsidRDefault="00031E79" w:rsidP="00522C41">
      <w:pPr>
        <w:pStyle w:val="BodyText"/>
        <w:spacing w:after="0"/>
        <w:jc w:val="both"/>
        <w:rPr>
          <w:rFonts w:cs="Arial"/>
          <w:color w:val="000000" w:themeColor="text1"/>
          <w:sz w:val="22"/>
          <w:szCs w:val="22"/>
        </w:rPr>
      </w:pPr>
    </w:p>
    <w:p w14:paraId="170AF190" w14:textId="57CACAC3"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Specific education, professional development and specialisation opportunities should be made available to support the development of essential knowledge and skills across the workforce. Resources and programs should highlight the specific sexual health needs of priority population groups.</w:t>
      </w:r>
      <w:r w:rsidR="008B43F1">
        <w:rPr>
          <w:rFonts w:ascii="ZWAdobeF" w:hAnsi="ZWAdobeF" w:cs="ZWAdobeF"/>
          <w:sz w:val="2"/>
          <w:szCs w:val="2"/>
        </w:rPr>
        <w:t>109F</w:t>
      </w:r>
      <w:r w:rsidRPr="00442D9E">
        <w:rPr>
          <w:rStyle w:val="EndnoteReference"/>
          <w:rFonts w:cs="Arial"/>
          <w:color w:val="000000" w:themeColor="text1"/>
          <w:sz w:val="22"/>
          <w:szCs w:val="22"/>
        </w:rPr>
        <w:endnoteReference w:id="109"/>
      </w:r>
      <w:r w:rsidRPr="00442D9E">
        <w:rPr>
          <w:rFonts w:cs="Arial"/>
          <w:color w:val="000000" w:themeColor="text1"/>
          <w:sz w:val="22"/>
          <w:szCs w:val="22"/>
        </w:rPr>
        <w:t xml:space="preserve"> Hybrid approaches of online learning, web-based resources</w:t>
      </w:r>
      <w:r w:rsidR="004A3257">
        <w:rPr>
          <w:rFonts w:cs="Arial"/>
          <w:color w:val="000000" w:themeColor="text1"/>
          <w:sz w:val="22"/>
          <w:szCs w:val="22"/>
        </w:rPr>
        <w:t>,</w:t>
      </w:r>
      <w:r w:rsidRPr="00442D9E">
        <w:rPr>
          <w:rFonts w:cs="Arial"/>
          <w:color w:val="000000" w:themeColor="text1"/>
          <w:sz w:val="22"/>
          <w:szCs w:val="22"/>
        </w:rPr>
        <w:t xml:space="preserve"> and mobile applications, as well as face-to-face learning opportunities, should be tailored to specific workforce needs and locations (including urban, regional, rural</w:t>
      </w:r>
      <w:r w:rsidR="004A3257">
        <w:rPr>
          <w:rFonts w:cs="Arial"/>
          <w:color w:val="000000" w:themeColor="text1"/>
          <w:sz w:val="22"/>
          <w:szCs w:val="22"/>
        </w:rPr>
        <w:t>,</w:t>
      </w:r>
      <w:r w:rsidRPr="00442D9E">
        <w:rPr>
          <w:rFonts w:cs="Arial"/>
          <w:color w:val="000000" w:themeColor="text1"/>
          <w:sz w:val="22"/>
          <w:szCs w:val="22"/>
        </w:rPr>
        <w:t xml:space="preserve"> and remote). Professional and community-based organisations, working with specialist education providers, are well placed to tailor training in response to local needs and workforce capacity.</w:t>
      </w:r>
    </w:p>
    <w:p w14:paraId="19E1D790" w14:textId="10E57B8B" w:rsidR="00031E79" w:rsidRPr="00442D9E" w:rsidRDefault="00031E79" w:rsidP="00522C41">
      <w:pPr>
        <w:pStyle w:val="BodyText"/>
        <w:spacing w:after="0"/>
        <w:jc w:val="both"/>
        <w:rPr>
          <w:rFonts w:cs="Arial"/>
          <w:color w:val="000000" w:themeColor="text1"/>
          <w:sz w:val="22"/>
          <w:szCs w:val="22"/>
        </w:rPr>
      </w:pPr>
    </w:p>
    <w:p w14:paraId="142EDB4C" w14:textId="19D17B46"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Evidence-based, responsive</w:t>
      </w:r>
      <w:r w:rsidR="004A3257">
        <w:rPr>
          <w:rFonts w:cs="Arial"/>
          <w:color w:val="000000" w:themeColor="text1"/>
          <w:sz w:val="22"/>
          <w:szCs w:val="22"/>
        </w:rPr>
        <w:t>,</w:t>
      </w:r>
      <w:r w:rsidRPr="00442D9E">
        <w:rPr>
          <w:rFonts w:cs="Arial"/>
          <w:color w:val="000000" w:themeColor="text1"/>
          <w:sz w:val="22"/>
          <w:szCs w:val="22"/>
        </w:rPr>
        <w:t xml:space="preserve"> and accessible clinical guidelines and tools play an essential role in supporting the provision of effective STI prevention and care in Australia. These guidelines must be coupled with education for health professionals to support guideline use and training to build workforce capacity and capability. </w:t>
      </w:r>
      <w:r w:rsidRPr="00442D9E">
        <w:rPr>
          <w:rFonts w:cs="Arial"/>
          <w:color w:val="000000" w:themeColor="text1"/>
          <w:sz w:val="22"/>
          <w:szCs w:val="22"/>
          <w:shd w:val="clear" w:color="auto" w:fill="FCFCFC"/>
        </w:rPr>
        <w:t>Strengthened digital health systems and consolidated electronic health records can enable holistic and person-centred care, and these would need to be accompanied by significant cultural, legal</w:t>
      </w:r>
      <w:r w:rsidR="00A65CA7">
        <w:rPr>
          <w:rFonts w:cs="Arial"/>
          <w:color w:val="000000" w:themeColor="text1"/>
          <w:sz w:val="22"/>
          <w:szCs w:val="22"/>
          <w:shd w:val="clear" w:color="auto" w:fill="FCFCFC"/>
        </w:rPr>
        <w:t>,</w:t>
      </w:r>
      <w:r w:rsidRPr="00442D9E">
        <w:rPr>
          <w:rFonts w:cs="Arial"/>
          <w:color w:val="000000" w:themeColor="text1"/>
          <w:sz w:val="22"/>
          <w:szCs w:val="22"/>
          <w:shd w:val="clear" w:color="auto" w:fill="FCFCFC"/>
        </w:rPr>
        <w:t xml:space="preserve"> and social reforms to build trust in digital health systems from priority populations.</w:t>
      </w:r>
      <w:r w:rsidR="008B43F1">
        <w:rPr>
          <w:rFonts w:ascii="ZWAdobeF" w:hAnsi="ZWAdobeF" w:cs="ZWAdobeF"/>
          <w:sz w:val="2"/>
          <w:szCs w:val="2"/>
          <w:shd w:val="clear" w:color="auto" w:fill="FCFCFC"/>
        </w:rPr>
        <w:t>110F</w:t>
      </w:r>
      <w:r w:rsidRPr="00442D9E">
        <w:rPr>
          <w:rStyle w:val="EndnoteReference"/>
          <w:rFonts w:cs="Arial"/>
          <w:color w:val="000000" w:themeColor="text1"/>
          <w:sz w:val="22"/>
          <w:szCs w:val="22"/>
          <w:shd w:val="clear" w:color="auto" w:fill="FCFCFC"/>
        </w:rPr>
        <w:endnoteReference w:id="110"/>
      </w:r>
      <w:r w:rsidR="00FF6A7D">
        <w:rPr>
          <w:rFonts w:cs="Arial"/>
          <w:color w:val="000000" w:themeColor="text1"/>
          <w:sz w:val="22"/>
          <w:szCs w:val="22"/>
        </w:rPr>
        <w:t xml:space="preserve"> </w:t>
      </w:r>
    </w:p>
    <w:p w14:paraId="4EC12CEE" w14:textId="63E59175" w:rsidR="00031E79" w:rsidRPr="00442D9E" w:rsidRDefault="00031E79" w:rsidP="00522C41">
      <w:pPr>
        <w:pStyle w:val="BodyText"/>
        <w:spacing w:after="0"/>
        <w:jc w:val="both"/>
        <w:rPr>
          <w:rFonts w:cs="Arial"/>
          <w:color w:val="000000" w:themeColor="text1"/>
          <w:sz w:val="22"/>
          <w:szCs w:val="22"/>
        </w:rPr>
      </w:pPr>
    </w:p>
    <w:p w14:paraId="08177646" w14:textId="197BA30C"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Issues about recruitment and retention of healthcare providers, peer workers and other staff must be addressed, particularly in rural, regional</w:t>
      </w:r>
      <w:r w:rsidR="00A65CA7">
        <w:rPr>
          <w:rFonts w:cs="Arial"/>
          <w:color w:val="000000" w:themeColor="text1"/>
          <w:sz w:val="22"/>
          <w:szCs w:val="22"/>
        </w:rPr>
        <w:t>,</w:t>
      </w:r>
      <w:r w:rsidRPr="00442D9E">
        <w:rPr>
          <w:rFonts w:cs="Arial"/>
          <w:color w:val="000000" w:themeColor="text1"/>
          <w:sz w:val="22"/>
          <w:szCs w:val="22"/>
        </w:rPr>
        <w:t xml:space="preserve"> and remote areas, to ensure that the required expertise, capability and capacity exist in all areas. Innovative models adapted to local contexts can assist in addressing such challenges by utilising the skills of other appropriately trained health professionals, including nurses and </w:t>
      </w:r>
      <w:r w:rsidR="009E5590">
        <w:rPr>
          <w:rFonts w:cs="Arial"/>
          <w:color w:val="000000" w:themeColor="text1"/>
          <w:sz w:val="22"/>
          <w:szCs w:val="22"/>
        </w:rPr>
        <w:t>Aboriginal and Torres Strait Islander</w:t>
      </w:r>
      <w:r w:rsidRPr="00442D9E">
        <w:rPr>
          <w:rFonts w:cs="Arial"/>
          <w:color w:val="000000" w:themeColor="text1"/>
          <w:sz w:val="22"/>
          <w:szCs w:val="22"/>
        </w:rPr>
        <w:t xml:space="preserve"> health workers.</w:t>
      </w:r>
    </w:p>
    <w:p w14:paraId="07210F6F" w14:textId="77777777" w:rsidR="00031E79" w:rsidRPr="00442D9E" w:rsidRDefault="00031E79" w:rsidP="00522C41">
      <w:pPr>
        <w:pStyle w:val="BodyText"/>
        <w:spacing w:after="0"/>
        <w:jc w:val="both"/>
        <w:rPr>
          <w:rFonts w:cs="Arial"/>
          <w:color w:val="000000" w:themeColor="text1"/>
          <w:sz w:val="22"/>
          <w:szCs w:val="22"/>
        </w:rPr>
      </w:pPr>
    </w:p>
    <w:p w14:paraId="1A59CB0D" w14:textId="4DA27E8B" w:rsidR="00031E79" w:rsidRPr="00442D9E" w:rsidRDefault="2A18D9C9" w:rsidP="00522C41">
      <w:pPr>
        <w:pStyle w:val="BodyText"/>
        <w:spacing w:after="0"/>
        <w:jc w:val="both"/>
        <w:rPr>
          <w:rFonts w:cs="Arial"/>
          <w:color w:val="000000" w:themeColor="text1"/>
          <w:sz w:val="22"/>
          <w:szCs w:val="22"/>
        </w:rPr>
      </w:pPr>
      <w:r w:rsidRPr="06DE5C08">
        <w:rPr>
          <w:rFonts w:cs="Arial"/>
          <w:color w:val="000000" w:themeColor="text1"/>
          <w:sz w:val="22"/>
          <w:szCs w:val="22"/>
        </w:rPr>
        <w:t>Most priority populations in Australia regularly interact with primary care services, including sexual health services. Support and education must be provided to healthcare professionals at the frontline of STI diagnosis and treatment, particularly general practitioners, to ensure that they are well informed, are aware of and have access to appropriate guidelines on testing and treatment and can provide optimal information and support to their clients. Maintaining a strong workforce to provide support and referral pathways for care at the community level is a priority.</w:t>
      </w:r>
    </w:p>
    <w:p w14:paraId="01CF6E45" w14:textId="77777777" w:rsidR="00031E79" w:rsidRPr="00442D9E" w:rsidRDefault="00031E79" w:rsidP="00522C41">
      <w:pPr>
        <w:pStyle w:val="BodyText"/>
        <w:spacing w:after="0"/>
        <w:jc w:val="both"/>
        <w:rPr>
          <w:rFonts w:cs="Arial"/>
          <w:color w:val="000000" w:themeColor="text1"/>
          <w:sz w:val="22"/>
          <w:szCs w:val="22"/>
        </w:rPr>
      </w:pPr>
    </w:p>
    <w:p w14:paraId="44EB8AFC" w14:textId="1472FD81"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 xml:space="preserve">The level of stigma experienced by people seeking to access STI </w:t>
      </w:r>
      <w:r w:rsidR="00C827D0" w:rsidRPr="00442D9E">
        <w:rPr>
          <w:rFonts w:cs="Arial"/>
          <w:color w:val="000000" w:themeColor="text1"/>
          <w:sz w:val="22"/>
          <w:szCs w:val="22"/>
        </w:rPr>
        <w:t>testing</w:t>
      </w:r>
      <w:r w:rsidRPr="00442D9E">
        <w:rPr>
          <w:rFonts w:cs="Arial"/>
          <w:color w:val="000000" w:themeColor="text1"/>
          <w:sz w:val="22"/>
          <w:szCs w:val="22"/>
        </w:rPr>
        <w:t xml:space="preserve"> and treatment is impacted by the attitudes of health professionals and clinic staff</w:t>
      </w:r>
      <w:r w:rsidR="00CD5BFA">
        <w:rPr>
          <w:rFonts w:cs="Arial"/>
          <w:color w:val="000000" w:themeColor="text1"/>
          <w:sz w:val="22"/>
          <w:szCs w:val="22"/>
        </w:rPr>
        <w:t>,</w:t>
      </w:r>
      <w:r w:rsidRPr="00442D9E">
        <w:rPr>
          <w:rFonts w:cs="Arial"/>
          <w:color w:val="000000" w:themeColor="text1"/>
          <w:sz w:val="22"/>
          <w:szCs w:val="22"/>
        </w:rPr>
        <w:t xml:space="preserve"> </w:t>
      </w:r>
      <w:r w:rsidR="00437DFE">
        <w:rPr>
          <w:rFonts w:cs="Arial"/>
          <w:color w:val="000000" w:themeColor="text1"/>
          <w:sz w:val="22"/>
          <w:szCs w:val="22"/>
        </w:rPr>
        <w:t>and also</w:t>
      </w:r>
      <w:r w:rsidRPr="00442D9E">
        <w:rPr>
          <w:rFonts w:cs="Arial"/>
          <w:color w:val="000000" w:themeColor="text1"/>
          <w:sz w:val="22"/>
          <w:szCs w:val="22"/>
        </w:rPr>
        <w:t xml:space="preserve"> by physical location and environment.</w:t>
      </w:r>
      <w:r w:rsidR="008B43F1">
        <w:rPr>
          <w:rFonts w:ascii="ZWAdobeF" w:hAnsi="ZWAdobeF" w:cs="ZWAdobeF"/>
          <w:sz w:val="2"/>
          <w:szCs w:val="2"/>
        </w:rPr>
        <w:t>111F</w:t>
      </w:r>
      <w:r w:rsidRPr="00442D9E">
        <w:rPr>
          <w:rStyle w:val="EndnoteReference"/>
          <w:rFonts w:cs="Arial"/>
          <w:color w:val="000000" w:themeColor="text1"/>
          <w:sz w:val="22"/>
          <w:szCs w:val="22"/>
        </w:rPr>
        <w:endnoteReference w:id="111"/>
      </w:r>
      <w:r w:rsidRPr="00442D9E">
        <w:rPr>
          <w:rFonts w:cs="Arial"/>
          <w:color w:val="000000" w:themeColor="text1"/>
          <w:sz w:val="22"/>
          <w:szCs w:val="22"/>
        </w:rPr>
        <w:t xml:space="preserve"> Education</w:t>
      </w:r>
      <w:r w:rsidR="003C43FF">
        <w:rPr>
          <w:rFonts w:cs="Arial"/>
          <w:color w:val="000000" w:themeColor="text1"/>
          <w:sz w:val="22"/>
          <w:szCs w:val="22"/>
        </w:rPr>
        <w:t xml:space="preserve"> and</w:t>
      </w:r>
      <w:r w:rsidRPr="00442D9E">
        <w:rPr>
          <w:rFonts w:cs="Arial"/>
          <w:color w:val="000000" w:themeColor="text1"/>
          <w:sz w:val="22"/>
          <w:szCs w:val="22"/>
        </w:rPr>
        <w:t xml:space="preserve"> awareness raising to reduce stigma in healthcare settings </w:t>
      </w:r>
      <w:r w:rsidR="003C43FF">
        <w:rPr>
          <w:rFonts w:cs="Arial"/>
          <w:color w:val="000000" w:themeColor="text1"/>
          <w:sz w:val="22"/>
          <w:szCs w:val="22"/>
        </w:rPr>
        <w:t>is</w:t>
      </w:r>
      <w:r w:rsidRPr="00442D9E">
        <w:rPr>
          <w:rFonts w:cs="Arial"/>
          <w:color w:val="000000" w:themeColor="text1"/>
          <w:sz w:val="22"/>
          <w:szCs w:val="22"/>
        </w:rPr>
        <w:t xml:space="preserve"> considered integral </w:t>
      </w:r>
      <w:r w:rsidR="003C43FF">
        <w:rPr>
          <w:rFonts w:cs="Arial"/>
          <w:color w:val="000000" w:themeColor="text1"/>
          <w:sz w:val="22"/>
          <w:szCs w:val="22"/>
        </w:rPr>
        <w:t>to</w:t>
      </w:r>
      <w:r w:rsidRPr="00442D9E">
        <w:rPr>
          <w:rFonts w:cs="Arial"/>
          <w:color w:val="000000" w:themeColor="text1"/>
          <w:sz w:val="22"/>
          <w:szCs w:val="22"/>
        </w:rPr>
        <w:t xml:space="preserve"> training programs for staff of all </w:t>
      </w:r>
      <w:r w:rsidR="00C4202A" w:rsidRPr="00442D9E">
        <w:rPr>
          <w:rFonts w:cs="Arial"/>
          <w:color w:val="000000" w:themeColor="text1"/>
          <w:sz w:val="22"/>
          <w:szCs w:val="22"/>
        </w:rPr>
        <w:t>specialists</w:t>
      </w:r>
      <w:r w:rsidRPr="00442D9E">
        <w:rPr>
          <w:rFonts w:cs="Arial"/>
          <w:color w:val="000000" w:themeColor="text1"/>
          <w:sz w:val="22"/>
          <w:szCs w:val="22"/>
        </w:rPr>
        <w:t>, primary healthcare</w:t>
      </w:r>
      <w:r w:rsidR="00A804B6">
        <w:rPr>
          <w:rFonts w:cs="Arial"/>
          <w:color w:val="000000" w:themeColor="text1"/>
          <w:sz w:val="22"/>
          <w:szCs w:val="22"/>
        </w:rPr>
        <w:t>,</w:t>
      </w:r>
      <w:r w:rsidRPr="00442D9E">
        <w:rPr>
          <w:rFonts w:cs="Arial"/>
          <w:color w:val="000000" w:themeColor="text1"/>
          <w:sz w:val="22"/>
          <w:szCs w:val="22"/>
        </w:rPr>
        <w:t xml:space="preserve"> and community-based service providers. Healthcare professionals working with young people need to be regularly educated and updated about these important structural issues with regard to health insurance schemes and young people’s rights.</w:t>
      </w:r>
    </w:p>
    <w:p w14:paraId="30F776E0" w14:textId="77777777" w:rsidR="00CA1873" w:rsidRDefault="00CA1873" w:rsidP="00522C41">
      <w:pPr>
        <w:pStyle w:val="BodyText"/>
        <w:spacing w:after="0"/>
        <w:jc w:val="both"/>
        <w:rPr>
          <w:rFonts w:cs="Arial"/>
          <w:color w:val="000000" w:themeColor="text1"/>
          <w:sz w:val="22"/>
          <w:szCs w:val="22"/>
        </w:rPr>
      </w:pPr>
    </w:p>
    <w:p w14:paraId="5FFF571E" w14:textId="22191BED" w:rsidR="00CA1873" w:rsidRDefault="00CA1873" w:rsidP="00CA1873">
      <w:pPr>
        <w:pStyle w:val="BodyText"/>
        <w:spacing w:before="120"/>
        <w:rPr>
          <w:rFonts w:cs="Arial"/>
          <w:color w:val="000000" w:themeColor="text1"/>
          <w:sz w:val="22"/>
          <w:szCs w:val="22"/>
        </w:rPr>
      </w:pPr>
      <w:r>
        <w:rPr>
          <w:rFonts w:cs="Arial"/>
          <w:color w:val="000000" w:themeColor="text1"/>
          <w:sz w:val="22"/>
          <w:szCs w:val="22"/>
        </w:rPr>
        <w:t xml:space="preserve">For example, it is important to ensure </w:t>
      </w:r>
      <w:r w:rsidRPr="00CF5C50">
        <w:rPr>
          <w:rFonts w:cs="Arial"/>
          <w:color w:val="000000" w:themeColor="text1"/>
          <w:sz w:val="22"/>
          <w:szCs w:val="22"/>
        </w:rPr>
        <w:t xml:space="preserve">health professionals and </w:t>
      </w:r>
      <w:r>
        <w:rPr>
          <w:rFonts w:cs="Arial"/>
          <w:color w:val="000000" w:themeColor="text1"/>
          <w:sz w:val="22"/>
          <w:szCs w:val="22"/>
        </w:rPr>
        <w:t xml:space="preserve">relevant non-clinical </w:t>
      </w:r>
      <w:r w:rsidRPr="00CF5C50">
        <w:rPr>
          <w:rFonts w:cs="Arial"/>
          <w:color w:val="000000" w:themeColor="text1"/>
          <w:sz w:val="22"/>
          <w:szCs w:val="22"/>
        </w:rPr>
        <w:t xml:space="preserve">staff </w:t>
      </w:r>
      <w:r>
        <w:rPr>
          <w:rFonts w:cs="Arial"/>
          <w:color w:val="000000" w:themeColor="text1"/>
          <w:sz w:val="22"/>
          <w:szCs w:val="22"/>
        </w:rPr>
        <w:t xml:space="preserve">are provided education and training </w:t>
      </w:r>
      <w:r w:rsidRPr="00CF5C50">
        <w:rPr>
          <w:rFonts w:cs="Arial"/>
          <w:color w:val="000000" w:themeColor="text1"/>
          <w:sz w:val="22"/>
          <w:szCs w:val="22"/>
        </w:rPr>
        <w:t>about young people’s right to confidential healthcare</w:t>
      </w:r>
      <w:r>
        <w:rPr>
          <w:rFonts w:cs="Arial"/>
          <w:color w:val="000000" w:themeColor="text1"/>
          <w:sz w:val="22"/>
          <w:szCs w:val="22"/>
        </w:rPr>
        <w:t xml:space="preserve">, </w:t>
      </w:r>
      <w:r w:rsidRPr="00CF5C50">
        <w:rPr>
          <w:rFonts w:cs="Arial"/>
          <w:color w:val="000000" w:themeColor="text1"/>
          <w:sz w:val="22"/>
          <w:szCs w:val="22"/>
        </w:rPr>
        <w:t>their right to consent to their own medical treatment</w:t>
      </w:r>
      <w:r>
        <w:rPr>
          <w:rFonts w:cs="Arial"/>
          <w:color w:val="000000" w:themeColor="text1"/>
          <w:sz w:val="22"/>
          <w:szCs w:val="22"/>
        </w:rPr>
        <w:t>, and implications of STI identification in children and young people</w:t>
      </w:r>
      <w:r w:rsidRPr="002C0A3D">
        <w:rPr>
          <w:rFonts w:cs="Arial"/>
          <w:color w:val="000000" w:themeColor="text1"/>
          <w:sz w:val="22"/>
          <w:szCs w:val="22"/>
        </w:rPr>
        <w:t xml:space="preserve">. </w:t>
      </w:r>
      <w:r w:rsidRPr="00CF5C50">
        <w:rPr>
          <w:rFonts w:cs="Arial"/>
          <w:color w:val="000000" w:themeColor="text1"/>
          <w:sz w:val="22"/>
          <w:szCs w:val="22"/>
        </w:rPr>
        <w:t>For example, health professionals should be aware:</w:t>
      </w:r>
    </w:p>
    <w:p w14:paraId="61BE069E" w14:textId="77777777" w:rsidR="00CA1873" w:rsidRPr="0040511C" w:rsidRDefault="00CA1873" w:rsidP="008B43F1">
      <w:pPr>
        <w:pStyle w:val="BodyText"/>
        <w:numPr>
          <w:ilvl w:val="0"/>
          <w:numId w:val="24"/>
        </w:numPr>
        <w:spacing w:before="120"/>
        <w:rPr>
          <w:rFonts w:cs="Arial"/>
          <w:color w:val="000000" w:themeColor="text1"/>
          <w:sz w:val="22"/>
          <w:szCs w:val="22"/>
        </w:rPr>
      </w:pPr>
      <w:r w:rsidRPr="0040511C">
        <w:rPr>
          <w:rFonts w:cs="Arial"/>
          <w:color w:val="000000" w:themeColor="text1"/>
          <w:sz w:val="22"/>
          <w:szCs w:val="22"/>
        </w:rPr>
        <w:lastRenderedPageBreak/>
        <w:t>young people can access confidential care using a family Medicare number, which, if they are over 14 years, cannot be seen by a parent or guardian</w:t>
      </w:r>
      <w:r>
        <w:rPr>
          <w:rFonts w:cs="Arial"/>
          <w:color w:val="000000" w:themeColor="text1"/>
          <w:sz w:val="22"/>
          <w:szCs w:val="22"/>
        </w:rPr>
        <w:t>,</w:t>
      </w:r>
    </w:p>
    <w:p w14:paraId="5210CABE" w14:textId="77777777" w:rsidR="00CA1873" w:rsidRPr="00442D9E" w:rsidRDefault="00CA1873" w:rsidP="008B43F1">
      <w:pPr>
        <w:pStyle w:val="BodyText"/>
        <w:numPr>
          <w:ilvl w:val="0"/>
          <w:numId w:val="24"/>
        </w:numPr>
        <w:spacing w:after="0"/>
        <w:jc w:val="both"/>
        <w:rPr>
          <w:rFonts w:cs="Arial"/>
          <w:color w:val="000000" w:themeColor="text1"/>
          <w:sz w:val="22"/>
          <w:szCs w:val="22"/>
        </w:rPr>
      </w:pPr>
      <w:r w:rsidRPr="0040511C">
        <w:rPr>
          <w:rFonts w:cs="Arial"/>
          <w:color w:val="000000" w:themeColor="text1"/>
          <w:sz w:val="22"/>
          <w:szCs w:val="22"/>
        </w:rPr>
        <w:t>information pertaining to services charged to a private insurance fund for international students in Australia is not visible to parents or guardians</w:t>
      </w:r>
      <w:r>
        <w:rPr>
          <w:rFonts w:cs="Arial"/>
          <w:color w:val="000000" w:themeColor="text1"/>
          <w:sz w:val="22"/>
          <w:szCs w:val="22"/>
        </w:rPr>
        <w:t>.</w:t>
      </w:r>
    </w:p>
    <w:p w14:paraId="7EB6B5B0" w14:textId="77777777" w:rsidR="00031E79" w:rsidRPr="00442D9E" w:rsidRDefault="00031E79" w:rsidP="00522C41">
      <w:pPr>
        <w:pStyle w:val="BodyText"/>
        <w:spacing w:after="0"/>
        <w:jc w:val="both"/>
        <w:rPr>
          <w:rFonts w:cs="Arial"/>
          <w:color w:val="000000" w:themeColor="text1"/>
          <w:sz w:val="22"/>
          <w:szCs w:val="22"/>
        </w:rPr>
      </w:pPr>
    </w:p>
    <w:p w14:paraId="42650D22" w14:textId="1B6EAFEF"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Building on the trend for nurse- and peer-led testing and treatment models for other diseases will be essential over the life of this strategy, particularly to support equitable access across locations and settings. Opportunities to facilitate the provision of more nurse-led services, including required education, professional development</w:t>
      </w:r>
      <w:r w:rsidR="00B23B85">
        <w:rPr>
          <w:rFonts w:cs="Arial"/>
          <w:color w:val="000000" w:themeColor="text1"/>
          <w:sz w:val="22"/>
          <w:szCs w:val="22"/>
        </w:rPr>
        <w:t>,</w:t>
      </w:r>
      <w:r w:rsidRPr="00442D9E">
        <w:rPr>
          <w:rFonts w:cs="Arial"/>
          <w:color w:val="000000" w:themeColor="text1"/>
          <w:sz w:val="22"/>
          <w:szCs w:val="22"/>
        </w:rPr>
        <w:t xml:space="preserve"> and specialisation opportunities, should be a particular focus.</w:t>
      </w:r>
    </w:p>
    <w:p w14:paraId="788F3B53" w14:textId="77777777" w:rsidR="00FA58D8" w:rsidRDefault="00FA58D8" w:rsidP="00522C41">
      <w:pPr>
        <w:pStyle w:val="BodyText"/>
        <w:spacing w:after="0"/>
        <w:jc w:val="both"/>
        <w:rPr>
          <w:rFonts w:cs="Arial"/>
          <w:b/>
          <w:bCs/>
          <w:color w:val="000000" w:themeColor="text1"/>
          <w:sz w:val="22"/>
          <w:szCs w:val="22"/>
        </w:rPr>
      </w:pPr>
    </w:p>
    <w:p w14:paraId="0954828B" w14:textId="77777777" w:rsidR="00853A85" w:rsidRDefault="00853A85" w:rsidP="00522C41">
      <w:pPr>
        <w:pStyle w:val="BodyText"/>
        <w:spacing w:after="0"/>
        <w:jc w:val="both"/>
        <w:rPr>
          <w:rFonts w:cs="Arial"/>
          <w:color w:val="000000" w:themeColor="text1"/>
          <w:sz w:val="22"/>
          <w:szCs w:val="22"/>
        </w:rPr>
      </w:pPr>
    </w:p>
    <w:p w14:paraId="4B56786C" w14:textId="2809E61B" w:rsidR="00D71F98" w:rsidRDefault="007107F0" w:rsidP="00860249">
      <w:pPr>
        <w:pStyle w:val="Caption"/>
      </w:pPr>
      <w:r w:rsidRPr="00B4151B">
        <w:rPr>
          <w:rFonts w:cs="Arial"/>
          <w:noProof/>
          <w:color w:val="000000" w:themeColor="text1"/>
          <w:szCs w:val="22"/>
          <w:lang w:val="en-AU"/>
        </w:rPr>
        <mc:AlternateContent>
          <mc:Choice Requires="wps">
            <w:drawing>
              <wp:inline distT="0" distB="0" distL="0" distR="0" wp14:anchorId="1ECD5B39" wp14:editId="2151D9BF">
                <wp:extent cx="6106601" cy="1404620"/>
                <wp:effectExtent l="19050" t="19050" r="27940" b="27940"/>
                <wp:docPr id="1955979300" name="Text Box 1955979300" descr="P805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601" cy="1404620"/>
                        </a:xfrm>
                        <a:prstGeom prst="rect">
                          <a:avLst/>
                        </a:prstGeom>
                        <a:solidFill>
                          <a:schemeClr val="accent2">
                            <a:lumMod val="20000"/>
                            <a:lumOff val="80000"/>
                            <a:alpha val="75000"/>
                          </a:schemeClr>
                        </a:solidFill>
                        <a:ln w="28575">
                          <a:solidFill>
                            <a:srgbClr val="FE9648">
                              <a:alpha val="74902"/>
                            </a:srgbClr>
                          </a:solidFill>
                          <a:miter lim="800000"/>
                          <a:headEnd/>
                          <a:tailEnd/>
                        </a:ln>
                      </wps:spPr>
                      <wps:txbx>
                        <w:txbxContent>
                          <w:p w14:paraId="5A1A790B"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2BF812E9" w14:textId="4E0638E2" w:rsidR="00894F38" w:rsidRPr="003B2996" w:rsidRDefault="00894F38" w:rsidP="003B2996">
                            <w:pPr>
                              <w:spacing w:after="120"/>
                            </w:pPr>
                            <w:r w:rsidRPr="007107F0">
                              <w:t>A case study of a program in Kimberly, Western Australia, on tailoring culturally appropriate services to control syphilis to reach communities in need demonstrates opportunities in workforce development. The Enhanced Syphilis Response (ESR), run since 2018 by the Kimberley Aboriginal and Medical Service (KAMS) in partnership with its ACCHO members, has</w:t>
                            </w:r>
                            <w:r>
                              <w:t>,</w:t>
                            </w:r>
                            <w:r w:rsidRPr="007107F0">
                              <w:t xml:space="preserve"> as of 2023, trained over 100 ACCHO staff in point-of-care testing. KAMS has focussed on reaching people between the ages of 15 and 29 who attend clinics infrequently. Under the ESR program, rates of testing and treatment of syphilis and other </w:t>
                            </w:r>
                            <w:r w:rsidR="00F76C02">
                              <w:t>STI</w:t>
                            </w:r>
                            <w:r w:rsidRPr="007107F0">
                              <w:t xml:space="preserve"> and BBVs have increased. Increased funding to build up the sexual health workforce, using culturally appropriate health communication and outreach strategies, enabling clinics to tailor programs to their community and collaboration with people networks and partnership across organisations are key factors that have been attributed to the success of the response in the Kimberley region. See </w:t>
                            </w:r>
                            <w:hyperlink w:anchor="_Appendix_A:_CASE" w:history="1">
                              <w:r w:rsidRPr="007107F0">
                                <w:rPr>
                                  <w:rStyle w:val="Hyperlink"/>
                                </w:rPr>
                                <w:t>Appendix A</w:t>
                              </w:r>
                            </w:hyperlink>
                            <w:r w:rsidRPr="007107F0">
                              <w:t xml:space="preserve"> for more detail on the case study.</w:t>
                            </w:r>
                          </w:p>
                        </w:txbxContent>
                      </wps:txbx>
                      <wps:bodyPr rot="0" vert="horz" wrap="square" lIns="144000" tIns="144000" rIns="144000" bIns="144000" anchor="t" anchorCtr="0">
                        <a:spAutoFit/>
                      </wps:bodyPr>
                    </wps:wsp>
                  </a:graphicData>
                </a:graphic>
              </wp:inline>
            </w:drawing>
          </mc:Choice>
          <mc:Fallback>
            <w:pict>
              <v:shape w14:anchorId="1ECD5B39" id="Text Box 1955979300" o:spid="_x0000_s1038" type="#_x0000_t202" alt="P805TB13#y1" style="width:480.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" fillcolor="#fbe4d5 [661]" strokecolor="#fe9648" strokeweight="2.25pt">
                <v:fill opacity="49087f"/>
                <v:stroke opacity="49087f"/>
                <v:textbox style="mso-fit-shape-to-text:t" inset="4mm,4mm,4mm,4mm">
                  <w:txbxContent>
                    <w:p w14:paraId="5A1A790B"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2BF812E9" w14:textId="4E0638E2" w:rsidR="00894F38" w:rsidRPr="003B2996" w:rsidRDefault="00894F38" w:rsidP="003B2996">
                      <w:pPr>
                        <w:spacing w:after="120"/>
                      </w:pPr>
                      <w:r w:rsidRPr="007107F0">
                        <w:t>A case study of a program in Kimberly, Western Australia, on tailoring culturally appropriate services to control syphilis to reach communities in need demonstrates opportunities in workforce development. The Enhanced Syphilis Response (ESR), run since 2018 by the Kimberley Aboriginal and Medical Service (KAMS) in partnership with its ACCHO members, has</w:t>
                      </w:r>
                      <w:r>
                        <w:t>,</w:t>
                      </w:r>
                      <w:r w:rsidRPr="007107F0">
                        <w:t xml:space="preserve"> as of 2023, trained over 100 ACCHO staff in point-of-care testing. KAMS has focussed on reaching people between the ages of 15 and 29 who attend clinics infrequently. Under the ESR program, rates of testing and treatment of syphilis and other </w:t>
                      </w:r>
                      <w:r w:rsidR="00F76C02">
                        <w:t>STI</w:t>
                      </w:r>
                      <w:r w:rsidRPr="007107F0">
                        <w:t xml:space="preserve"> and BBVs have increased. Increased funding to build up the sexual health workforce, using culturally appropriate health communication and outreach strategies, enabling clinics to tailor programs to their community and collaboration with people networks and partnership across organisations are key factors that have been attributed to the success of the response in the Kimberley region. See </w:t>
                      </w:r>
                      <w:hyperlink w:anchor="_Appendix_A:_CASE" w:history="1">
                        <w:r w:rsidRPr="007107F0">
                          <w:rPr>
                            <w:rStyle w:val="Hyperlink"/>
                          </w:rPr>
                          <w:t>Appendix A</w:t>
                        </w:r>
                      </w:hyperlink>
                      <w:r w:rsidRPr="007107F0">
                        <w:t xml:space="preserve"> for more detail on the case study.</w:t>
                      </w:r>
                    </w:p>
                  </w:txbxContent>
                </v:textbox>
                <w10:anchorlock/>
              </v:shape>
            </w:pict>
          </mc:Fallback>
        </mc:AlternateContent>
      </w:r>
    </w:p>
    <w:p w14:paraId="1414B391" w14:textId="4BB2B5F0" w:rsidR="00853A85" w:rsidRPr="00442D9E" w:rsidRDefault="00860249" w:rsidP="00860249">
      <w:pPr>
        <w:pStyle w:val="Caption"/>
        <w:rPr>
          <w:rFonts w:cs="Arial"/>
          <w:color w:val="000000" w:themeColor="text1"/>
          <w:szCs w:val="22"/>
          <w:lang w:val="en-AU"/>
        </w:rPr>
      </w:pPr>
      <w:r>
        <w:t xml:space="preserve">Table </w:t>
      </w:r>
      <w:r>
        <w:fldChar w:fldCharType="begin"/>
      </w:r>
      <w:r>
        <w:instrText xml:space="preserve"> SEQ Table \* ARABIC </w:instrText>
      </w:r>
      <w:r>
        <w:fldChar w:fldCharType="separate"/>
      </w:r>
      <w:r w:rsidR="00853142">
        <w:rPr>
          <w:noProof/>
        </w:rPr>
        <w:t>4</w:t>
      </w:r>
      <w:r>
        <w:fldChar w:fldCharType="end"/>
      </w:r>
      <w:r>
        <w:t xml:space="preserve">: </w:t>
      </w:r>
      <w:r w:rsidRPr="002563CF">
        <w:t>K</w:t>
      </w:r>
      <w:r>
        <w:t>ey</w:t>
      </w:r>
      <w:r w:rsidRPr="002563CF">
        <w:t xml:space="preserve"> </w:t>
      </w:r>
      <w:r>
        <w:t>areas</w:t>
      </w:r>
      <w:r w:rsidRPr="002563CF">
        <w:t xml:space="preserve"> </w:t>
      </w:r>
      <w:r>
        <w:t>for</w:t>
      </w:r>
      <w:r w:rsidRPr="002563CF">
        <w:t xml:space="preserve"> </w:t>
      </w:r>
      <w:r>
        <w:t>action</w:t>
      </w:r>
      <w:r w:rsidRPr="002563CF">
        <w:t xml:space="preserve"> – </w:t>
      </w:r>
      <w:r>
        <w:t>Workforce development</w:t>
      </w:r>
    </w:p>
    <w:tbl>
      <w:tblPr>
        <w:tblW w:w="0" w:type="auto"/>
        <w:tblBorders>
          <w:top w:val="single" w:sz="8" w:space="0" w:color="F7941D"/>
          <w:left w:val="single" w:sz="8" w:space="0" w:color="F7941D"/>
          <w:bottom w:val="single" w:sz="8" w:space="0" w:color="F7941D"/>
          <w:right w:val="single" w:sz="8" w:space="0" w:color="F7941D"/>
          <w:insideH w:val="single" w:sz="8" w:space="0" w:color="F7941D"/>
          <w:insideV w:val="single" w:sz="8" w:space="0" w:color="F7941D"/>
        </w:tblBorders>
        <w:tblLayout w:type="fixed"/>
        <w:tblCellMar>
          <w:left w:w="170" w:type="dxa"/>
          <w:right w:w="170" w:type="dxa"/>
        </w:tblCellMar>
        <w:tblLook w:val="0000" w:firstRow="0" w:lastRow="0" w:firstColumn="0" w:lastColumn="0" w:noHBand="0" w:noVBand="0"/>
      </w:tblPr>
      <w:tblGrid>
        <w:gridCol w:w="983"/>
        <w:gridCol w:w="8629"/>
      </w:tblGrid>
      <w:tr w:rsidR="008C0C0E" w14:paraId="706DEA7B" w14:textId="77777777" w:rsidTr="00CB5B0A">
        <w:tc>
          <w:tcPr>
            <w:tcW w:w="9612" w:type="dxa"/>
            <w:gridSpan w:val="2"/>
            <w:shd w:val="clear" w:color="auto" w:fill="FE9648"/>
          </w:tcPr>
          <w:p w14:paraId="245BCA55" w14:textId="787FA17B" w:rsidR="008C0C0E" w:rsidRPr="00952A93" w:rsidRDefault="000B2560" w:rsidP="00CB5B0A">
            <w:pPr>
              <w:pStyle w:val="BodyText"/>
              <w:spacing w:before="120"/>
              <w:rPr>
                <w:rFonts w:cs="Arial"/>
                <w:b/>
                <w:bCs/>
                <w:color w:val="000000"/>
                <w:sz w:val="22"/>
                <w:szCs w:val="22"/>
              </w:rPr>
            </w:pPr>
            <w:r w:rsidRPr="00952A93">
              <w:rPr>
                <w:rFonts w:cs="Arial"/>
                <w:b/>
                <w:bCs/>
                <w:color w:val="000000"/>
                <w:sz w:val="22"/>
                <w:szCs w:val="22"/>
              </w:rPr>
              <w:t xml:space="preserve">KEY AREAS FOR ACTION – Workforce </w:t>
            </w:r>
            <w:r w:rsidR="00C81B7F" w:rsidRPr="00952A93">
              <w:rPr>
                <w:rFonts w:cs="Arial"/>
                <w:b/>
                <w:bCs/>
                <w:color w:val="000000"/>
                <w:sz w:val="22"/>
                <w:szCs w:val="22"/>
              </w:rPr>
              <w:t xml:space="preserve">development </w:t>
            </w:r>
          </w:p>
        </w:tc>
      </w:tr>
      <w:tr w:rsidR="008C0C0E" w14:paraId="1FA750AC" w14:textId="77777777">
        <w:tc>
          <w:tcPr>
            <w:tcW w:w="983" w:type="dxa"/>
            <w:tcBorders>
              <w:right w:val="nil"/>
            </w:tcBorders>
          </w:tcPr>
          <w:p w14:paraId="43C95516" w14:textId="6475CEC8" w:rsidR="008C0C0E" w:rsidRPr="00771B0D" w:rsidRDefault="00144798">
            <w:pPr>
              <w:pStyle w:val="BodyText"/>
              <w:spacing w:before="120"/>
              <w:jc w:val="center"/>
              <w:rPr>
                <w:rFonts w:cs="Arial"/>
                <w:b/>
                <w:bCs/>
                <w:color w:val="F7941D"/>
                <w:sz w:val="56"/>
                <w:szCs w:val="56"/>
              </w:rPr>
            </w:pPr>
            <w:r>
              <w:rPr>
                <w:rFonts w:cs="Arial"/>
                <w:b/>
                <w:bCs/>
                <w:color w:val="F7941D"/>
                <w:sz w:val="56"/>
                <w:szCs w:val="56"/>
              </w:rPr>
              <w:t>5</w:t>
            </w:r>
          </w:p>
        </w:tc>
        <w:tc>
          <w:tcPr>
            <w:tcW w:w="8629" w:type="dxa"/>
            <w:tcBorders>
              <w:left w:val="nil"/>
            </w:tcBorders>
            <w:vAlign w:val="center"/>
          </w:tcPr>
          <w:p w14:paraId="1DD2161E" w14:textId="57D65EA7" w:rsidR="008C0C0E" w:rsidRPr="006947E0" w:rsidRDefault="00C644D3" w:rsidP="00C644D3">
            <w:pPr>
              <w:pStyle w:val="BodyText"/>
              <w:spacing w:before="120"/>
              <w:rPr>
                <w:rFonts w:cs="Arial"/>
                <w:color w:val="000000" w:themeColor="text1"/>
                <w:sz w:val="22"/>
                <w:szCs w:val="22"/>
              </w:rPr>
            </w:pPr>
            <w:r w:rsidRPr="006947E0">
              <w:rPr>
                <w:rFonts w:cs="Arial"/>
                <w:color w:val="000000" w:themeColor="text1"/>
                <w:sz w:val="22"/>
                <w:szCs w:val="22"/>
              </w:rPr>
              <w:t>Promote and resource sustainable models and continuity of care for STI and sexual health within the health workforce, including general practitioners, workers in ACCHOs, general practice nurses and midwives. Involve community pharmacies and peer workers to increase STI screening, vaccination</w:t>
            </w:r>
            <w:r w:rsidR="0044212D">
              <w:rPr>
                <w:rFonts w:cs="Arial"/>
                <w:color w:val="000000" w:themeColor="text1"/>
                <w:sz w:val="22"/>
                <w:szCs w:val="22"/>
              </w:rPr>
              <w:t>,</w:t>
            </w:r>
            <w:r w:rsidRPr="006947E0">
              <w:rPr>
                <w:rFonts w:cs="Arial"/>
                <w:color w:val="000000" w:themeColor="text1"/>
                <w:sz w:val="22"/>
                <w:szCs w:val="22"/>
              </w:rPr>
              <w:t xml:space="preserve"> and access to treatment.</w:t>
            </w:r>
          </w:p>
        </w:tc>
      </w:tr>
      <w:tr w:rsidR="008C0C0E" w14:paraId="744A03EE" w14:textId="77777777">
        <w:tc>
          <w:tcPr>
            <w:tcW w:w="983" w:type="dxa"/>
            <w:tcBorders>
              <w:right w:val="nil"/>
            </w:tcBorders>
          </w:tcPr>
          <w:p w14:paraId="2114051D" w14:textId="4C1AFEEF" w:rsidR="008C0C0E" w:rsidRPr="00771B0D" w:rsidRDefault="00144798">
            <w:pPr>
              <w:pStyle w:val="BodyText"/>
              <w:spacing w:before="120"/>
              <w:jc w:val="center"/>
              <w:rPr>
                <w:rFonts w:cs="Arial"/>
                <w:b/>
                <w:bCs/>
                <w:color w:val="F7941D"/>
                <w:sz w:val="56"/>
                <w:szCs w:val="56"/>
              </w:rPr>
            </w:pPr>
            <w:r>
              <w:rPr>
                <w:rFonts w:cs="Arial"/>
                <w:b/>
                <w:bCs/>
                <w:color w:val="F7941D"/>
                <w:sz w:val="56"/>
                <w:szCs w:val="56"/>
              </w:rPr>
              <w:t>6</w:t>
            </w:r>
          </w:p>
        </w:tc>
        <w:tc>
          <w:tcPr>
            <w:tcW w:w="8629" w:type="dxa"/>
            <w:tcBorders>
              <w:left w:val="nil"/>
            </w:tcBorders>
            <w:vAlign w:val="center"/>
          </w:tcPr>
          <w:p w14:paraId="1814E2B5" w14:textId="71526128" w:rsidR="008C0C0E" w:rsidRPr="000D0533" w:rsidRDefault="000D0533" w:rsidP="000D0533">
            <w:pPr>
              <w:pStyle w:val="BodyText"/>
              <w:spacing w:before="120"/>
              <w:rPr>
                <w:rFonts w:cs="Arial"/>
                <w:color w:val="000000" w:themeColor="text1"/>
                <w:sz w:val="22"/>
                <w:szCs w:val="22"/>
              </w:rPr>
            </w:pPr>
            <w:r w:rsidRPr="000D0533">
              <w:rPr>
                <w:rFonts w:cs="Arial"/>
                <w:color w:val="000000" w:themeColor="text1"/>
                <w:sz w:val="22"/>
                <w:szCs w:val="22"/>
              </w:rPr>
              <w:t>Embed sexual health</w:t>
            </w:r>
            <w:r w:rsidR="006E72C4">
              <w:rPr>
                <w:rFonts w:cs="Arial"/>
                <w:color w:val="000000" w:themeColor="text1"/>
                <w:sz w:val="22"/>
                <w:szCs w:val="22"/>
              </w:rPr>
              <w:t>,</w:t>
            </w:r>
            <w:r w:rsidR="002E2CA1">
              <w:rPr>
                <w:rFonts w:cs="Arial"/>
                <w:color w:val="000000" w:themeColor="text1"/>
                <w:sz w:val="22"/>
                <w:szCs w:val="22"/>
              </w:rPr>
              <w:t xml:space="preserve"> </w:t>
            </w:r>
            <w:r w:rsidR="002E2CA1" w:rsidRPr="000D0533">
              <w:rPr>
                <w:rFonts w:cs="Arial"/>
                <w:color w:val="000000" w:themeColor="text1"/>
                <w:sz w:val="22"/>
                <w:szCs w:val="22"/>
              </w:rPr>
              <w:t>STI information</w:t>
            </w:r>
            <w:r w:rsidRPr="000D0533">
              <w:rPr>
                <w:rFonts w:cs="Arial"/>
                <w:color w:val="000000" w:themeColor="text1"/>
                <w:sz w:val="22"/>
                <w:szCs w:val="22"/>
              </w:rPr>
              <w:t xml:space="preserve"> and awareness of stigma within pre-service </w:t>
            </w:r>
            <w:r w:rsidR="006E72C4">
              <w:rPr>
                <w:rFonts w:cs="Arial"/>
                <w:color w:val="000000" w:themeColor="text1"/>
                <w:sz w:val="22"/>
                <w:szCs w:val="22"/>
              </w:rPr>
              <w:t>and prescribing</w:t>
            </w:r>
            <w:r w:rsidRPr="000D0533">
              <w:rPr>
                <w:rFonts w:cs="Arial"/>
                <w:color w:val="000000" w:themeColor="text1"/>
                <w:sz w:val="22"/>
                <w:szCs w:val="22"/>
              </w:rPr>
              <w:t xml:space="preserve"> training and medical school curricula and other health-related fields (such as pharmacy, nursing</w:t>
            </w:r>
            <w:r w:rsidR="008218FF">
              <w:rPr>
                <w:rFonts w:cs="Arial"/>
                <w:color w:val="000000" w:themeColor="text1"/>
                <w:sz w:val="22"/>
                <w:szCs w:val="22"/>
              </w:rPr>
              <w:t>,</w:t>
            </w:r>
            <w:r w:rsidRPr="000D0533">
              <w:rPr>
                <w:rFonts w:cs="Arial"/>
                <w:color w:val="000000" w:themeColor="text1"/>
                <w:sz w:val="22"/>
                <w:szCs w:val="22"/>
              </w:rPr>
              <w:t xml:space="preserve"> and midwifery) </w:t>
            </w:r>
            <w:r w:rsidR="00962EBD">
              <w:rPr>
                <w:rFonts w:cs="Arial"/>
                <w:color w:val="000000" w:themeColor="text1"/>
                <w:sz w:val="22"/>
                <w:szCs w:val="22"/>
              </w:rPr>
              <w:t xml:space="preserve">to enable </w:t>
            </w:r>
            <w:r w:rsidRPr="000D0533">
              <w:rPr>
                <w:rFonts w:cs="Arial"/>
                <w:color w:val="000000" w:themeColor="text1"/>
                <w:sz w:val="22"/>
                <w:szCs w:val="22"/>
              </w:rPr>
              <w:t>high-quality, non-stigmatising and culturally appropriate STI prevention, testing and treatment services for all.</w:t>
            </w:r>
            <w:r w:rsidR="00CA1873">
              <w:rPr>
                <w:rFonts w:cs="Arial"/>
                <w:color w:val="000000" w:themeColor="text1"/>
                <w:sz w:val="22"/>
                <w:szCs w:val="22"/>
              </w:rPr>
              <w:t xml:space="preserve"> </w:t>
            </w:r>
          </w:p>
        </w:tc>
      </w:tr>
      <w:tr w:rsidR="00C61224" w14:paraId="7797115F" w14:textId="77777777">
        <w:tc>
          <w:tcPr>
            <w:tcW w:w="983" w:type="dxa"/>
            <w:tcBorders>
              <w:right w:val="nil"/>
            </w:tcBorders>
          </w:tcPr>
          <w:p w14:paraId="414FD7B2" w14:textId="7F26EDAC" w:rsidR="007858EC" w:rsidRPr="00771B0D" w:rsidRDefault="00144798" w:rsidP="007858EC">
            <w:pPr>
              <w:pStyle w:val="BodyText"/>
              <w:spacing w:before="120"/>
              <w:jc w:val="center"/>
              <w:rPr>
                <w:rFonts w:cs="Arial"/>
                <w:b/>
                <w:bCs/>
                <w:color w:val="F7941D"/>
                <w:sz w:val="56"/>
                <w:szCs w:val="56"/>
              </w:rPr>
            </w:pPr>
            <w:r>
              <w:rPr>
                <w:rFonts w:cs="Arial"/>
                <w:b/>
                <w:bCs/>
                <w:color w:val="F7941D"/>
                <w:sz w:val="56"/>
                <w:szCs w:val="56"/>
              </w:rPr>
              <w:t>7</w:t>
            </w:r>
          </w:p>
        </w:tc>
        <w:tc>
          <w:tcPr>
            <w:tcW w:w="8629" w:type="dxa"/>
            <w:tcBorders>
              <w:left w:val="nil"/>
            </w:tcBorders>
          </w:tcPr>
          <w:p w14:paraId="2F12997D" w14:textId="1CFF6DB9" w:rsidR="007858EC" w:rsidRPr="003E3B2A" w:rsidRDefault="6CA5769E" w:rsidP="007858EC">
            <w:pPr>
              <w:pStyle w:val="BodyText"/>
              <w:spacing w:before="120"/>
              <w:rPr>
                <w:rFonts w:cs="Arial"/>
                <w:color w:val="000000" w:themeColor="text1"/>
                <w:sz w:val="22"/>
                <w:szCs w:val="22"/>
              </w:rPr>
            </w:pPr>
            <w:r w:rsidRPr="55E00E1E">
              <w:rPr>
                <w:rFonts w:cs="Arial"/>
                <w:color w:val="000000" w:themeColor="text1"/>
                <w:sz w:val="22"/>
                <w:szCs w:val="22"/>
              </w:rPr>
              <w:t>Build</w:t>
            </w:r>
            <w:r w:rsidR="007858EC" w:rsidRPr="00CF5C50">
              <w:rPr>
                <w:rFonts w:cs="Arial"/>
                <w:color w:val="000000" w:themeColor="text1"/>
                <w:sz w:val="22"/>
                <w:szCs w:val="22"/>
              </w:rPr>
              <w:t xml:space="preserve"> the capacity and role of community organisations to provide education, prevention, support</w:t>
            </w:r>
            <w:r w:rsidR="00917059">
              <w:rPr>
                <w:rFonts w:cs="Arial"/>
                <w:color w:val="000000" w:themeColor="text1"/>
                <w:sz w:val="22"/>
                <w:szCs w:val="22"/>
              </w:rPr>
              <w:t>,</w:t>
            </w:r>
            <w:r w:rsidR="007858EC" w:rsidRPr="00CF5C50">
              <w:rPr>
                <w:rFonts w:cs="Arial"/>
                <w:color w:val="000000" w:themeColor="text1"/>
                <w:sz w:val="22"/>
                <w:szCs w:val="22"/>
              </w:rPr>
              <w:t xml:space="preserve"> and advocacy services to priority populations. </w:t>
            </w:r>
          </w:p>
        </w:tc>
      </w:tr>
      <w:tr w:rsidR="002F3E68" w14:paraId="35E692F1" w14:textId="77777777">
        <w:tc>
          <w:tcPr>
            <w:tcW w:w="983" w:type="dxa"/>
            <w:tcBorders>
              <w:right w:val="nil"/>
            </w:tcBorders>
          </w:tcPr>
          <w:p w14:paraId="04E4FD7A" w14:textId="284D3DD3" w:rsidR="002F3E68" w:rsidRDefault="002F3E68" w:rsidP="007858EC">
            <w:pPr>
              <w:pStyle w:val="BodyText"/>
              <w:spacing w:before="120"/>
              <w:jc w:val="center"/>
              <w:rPr>
                <w:rFonts w:cs="Arial"/>
                <w:b/>
                <w:bCs/>
                <w:color w:val="F7941D"/>
                <w:sz w:val="56"/>
                <w:szCs w:val="56"/>
              </w:rPr>
            </w:pPr>
            <w:r>
              <w:rPr>
                <w:rFonts w:cs="Arial"/>
                <w:b/>
                <w:bCs/>
                <w:color w:val="F7941D"/>
                <w:sz w:val="56"/>
                <w:szCs w:val="56"/>
              </w:rPr>
              <w:t>8</w:t>
            </w:r>
          </w:p>
        </w:tc>
        <w:tc>
          <w:tcPr>
            <w:tcW w:w="8629" w:type="dxa"/>
            <w:tcBorders>
              <w:left w:val="nil"/>
            </w:tcBorders>
          </w:tcPr>
          <w:p w14:paraId="5FDCD50F" w14:textId="7A50E28B" w:rsidR="002F3E68" w:rsidRPr="002F3E68" w:rsidRDefault="002F3E68" w:rsidP="007858EC">
            <w:pPr>
              <w:pStyle w:val="BodyText"/>
              <w:spacing w:before="120"/>
              <w:rPr>
                <w:rFonts w:cs="Arial"/>
                <w:color w:val="000000" w:themeColor="text1"/>
                <w:sz w:val="22"/>
                <w:szCs w:val="22"/>
              </w:rPr>
            </w:pPr>
            <w:r w:rsidRPr="00ED0E53">
              <w:rPr>
                <w:rFonts w:cs="Arial"/>
                <w:color w:val="000000" w:themeColor="text1"/>
                <w:sz w:val="22"/>
                <w:szCs w:val="22"/>
              </w:rPr>
              <w:t xml:space="preserve">Enhance sexual health services by optimising and broadening nurses’ and other sexual healthcare providers’ scope of practice.  </w:t>
            </w:r>
          </w:p>
        </w:tc>
      </w:tr>
      <w:tr w:rsidR="007858EC" w14:paraId="10CEF429" w14:textId="77777777">
        <w:tc>
          <w:tcPr>
            <w:tcW w:w="983" w:type="dxa"/>
            <w:tcBorders>
              <w:right w:val="nil"/>
            </w:tcBorders>
          </w:tcPr>
          <w:p w14:paraId="40B5F218" w14:textId="30D501A9" w:rsidR="007858EC" w:rsidRPr="00771B0D" w:rsidRDefault="002F3E68" w:rsidP="007858EC">
            <w:pPr>
              <w:pStyle w:val="BodyText"/>
              <w:spacing w:before="120"/>
              <w:jc w:val="center"/>
              <w:rPr>
                <w:rFonts w:cs="Arial"/>
                <w:b/>
                <w:bCs/>
                <w:color w:val="F7941D"/>
                <w:sz w:val="56"/>
                <w:szCs w:val="56"/>
              </w:rPr>
            </w:pPr>
            <w:r>
              <w:rPr>
                <w:rFonts w:cs="Arial"/>
                <w:b/>
                <w:bCs/>
                <w:color w:val="F7941D"/>
                <w:sz w:val="56"/>
                <w:szCs w:val="56"/>
              </w:rPr>
              <w:t>9</w:t>
            </w:r>
          </w:p>
        </w:tc>
        <w:tc>
          <w:tcPr>
            <w:tcW w:w="8629" w:type="dxa"/>
            <w:tcBorders>
              <w:left w:val="nil"/>
            </w:tcBorders>
          </w:tcPr>
          <w:p w14:paraId="1F15579D" w14:textId="360B3CED" w:rsidR="007858EC" w:rsidRPr="003E3B2A" w:rsidRDefault="007858EC" w:rsidP="007858EC">
            <w:pPr>
              <w:pStyle w:val="BodyText"/>
              <w:spacing w:before="120"/>
              <w:rPr>
                <w:rFonts w:cs="Arial"/>
                <w:color w:val="000000" w:themeColor="text1"/>
                <w:sz w:val="22"/>
                <w:szCs w:val="22"/>
              </w:rPr>
            </w:pPr>
            <w:r w:rsidRPr="55E00E1E">
              <w:rPr>
                <w:rFonts w:eastAsia="Times New Roman" w:cs="Arial"/>
                <w:color w:val="000000" w:themeColor="text1"/>
                <w:sz w:val="22"/>
                <w:szCs w:val="22"/>
                <w:lang w:val="en-NZ" w:eastAsia="en-NZ"/>
              </w:rPr>
              <w:t>Strengthen the availability of sexual health service providers</w:t>
            </w:r>
            <w:r w:rsidR="00C36A92">
              <w:rPr>
                <w:rFonts w:eastAsia="Times New Roman" w:cs="Arial"/>
                <w:color w:val="000000" w:themeColor="text1"/>
                <w:sz w:val="22"/>
                <w:szCs w:val="22"/>
                <w:lang w:val="en-NZ" w:eastAsia="en-NZ"/>
              </w:rPr>
              <w:t xml:space="preserve"> trained in STI management</w:t>
            </w:r>
            <w:r w:rsidRPr="55E00E1E">
              <w:rPr>
                <w:rFonts w:eastAsia="Times New Roman" w:cs="Arial"/>
                <w:color w:val="000000" w:themeColor="text1"/>
                <w:sz w:val="22"/>
                <w:szCs w:val="22"/>
                <w:lang w:val="en-NZ" w:eastAsia="en-NZ"/>
              </w:rPr>
              <w:t xml:space="preserve"> in rural, regional</w:t>
            </w:r>
            <w:r w:rsidR="00831D15" w:rsidRPr="55E00E1E">
              <w:rPr>
                <w:rFonts w:eastAsia="Times New Roman" w:cs="Arial"/>
                <w:color w:val="000000" w:themeColor="text1"/>
                <w:sz w:val="22"/>
                <w:szCs w:val="22"/>
                <w:lang w:val="en-NZ" w:eastAsia="en-NZ"/>
              </w:rPr>
              <w:t>,</w:t>
            </w:r>
            <w:r w:rsidRPr="55E00E1E">
              <w:rPr>
                <w:rFonts w:eastAsia="Times New Roman" w:cs="Arial"/>
                <w:color w:val="000000" w:themeColor="text1"/>
                <w:sz w:val="22"/>
                <w:szCs w:val="22"/>
                <w:lang w:val="en-NZ" w:eastAsia="en-NZ"/>
              </w:rPr>
              <w:t xml:space="preserve"> and remote areas, and reform</w:t>
            </w:r>
            <w:r w:rsidR="00FC577D" w:rsidRPr="55E00E1E">
              <w:rPr>
                <w:rFonts w:eastAsia="Times New Roman" w:cs="Arial"/>
                <w:color w:val="000000" w:themeColor="text1"/>
                <w:sz w:val="22"/>
                <w:szCs w:val="22"/>
                <w:lang w:val="en-NZ" w:eastAsia="en-NZ"/>
              </w:rPr>
              <w:t xml:space="preserve"> funding </w:t>
            </w:r>
            <w:r w:rsidRPr="55E00E1E">
              <w:rPr>
                <w:rFonts w:eastAsia="Times New Roman" w:cs="Arial"/>
                <w:color w:val="000000" w:themeColor="text1"/>
                <w:sz w:val="22"/>
                <w:szCs w:val="22"/>
                <w:lang w:val="en-NZ" w:eastAsia="en-NZ"/>
              </w:rPr>
              <w:t xml:space="preserve">mechanisms </w:t>
            </w:r>
            <w:r w:rsidR="00FD3ABA" w:rsidRPr="55E00E1E">
              <w:rPr>
                <w:rFonts w:eastAsia="Times New Roman" w:cs="Arial"/>
                <w:color w:val="000000" w:themeColor="text1"/>
                <w:sz w:val="22"/>
                <w:szCs w:val="22"/>
                <w:lang w:val="en-NZ" w:eastAsia="en-NZ"/>
              </w:rPr>
              <w:t>that can support this</w:t>
            </w:r>
            <w:r w:rsidRPr="55E00E1E">
              <w:rPr>
                <w:rFonts w:eastAsia="Times New Roman" w:cs="Arial"/>
                <w:color w:val="000000" w:themeColor="text1"/>
                <w:sz w:val="22"/>
                <w:szCs w:val="22"/>
                <w:lang w:val="en-NZ" w:eastAsia="en-NZ"/>
              </w:rPr>
              <w:t>.</w:t>
            </w:r>
          </w:p>
        </w:tc>
      </w:tr>
    </w:tbl>
    <w:p w14:paraId="39B5B648" w14:textId="77777777" w:rsidR="00031E79" w:rsidRPr="00442D9E" w:rsidRDefault="00031E79" w:rsidP="00522C41">
      <w:pPr>
        <w:pStyle w:val="BodyText"/>
        <w:spacing w:after="0"/>
        <w:jc w:val="both"/>
        <w:rPr>
          <w:rFonts w:cs="Arial"/>
          <w:color w:val="000000" w:themeColor="text1"/>
          <w:sz w:val="22"/>
          <w:szCs w:val="22"/>
        </w:rPr>
      </w:pPr>
    </w:p>
    <w:p w14:paraId="47CA4330" w14:textId="63FC69D8" w:rsidR="00031E79" w:rsidRDefault="00031E79" w:rsidP="00B3141F">
      <w:pPr>
        <w:rPr>
          <w:rFonts w:cs="Arial"/>
          <w:sz w:val="22"/>
          <w:szCs w:val="22"/>
        </w:rPr>
      </w:pPr>
      <w:bookmarkStart w:id="89" w:name="_Hlk145593784"/>
      <w:bookmarkStart w:id="90" w:name="_Hlk143594974"/>
      <w:r w:rsidRPr="004E7A51">
        <w:rPr>
          <w:rFonts w:cs="Arial"/>
          <w:sz w:val="22"/>
          <w:szCs w:val="22"/>
        </w:rPr>
        <w:t>Outcomes expected from this priority area include buil</w:t>
      </w:r>
      <w:r w:rsidR="00892933">
        <w:rPr>
          <w:rFonts w:cs="Arial"/>
          <w:sz w:val="22"/>
          <w:szCs w:val="22"/>
        </w:rPr>
        <w:t>ding</w:t>
      </w:r>
      <w:r w:rsidRPr="004E7A51">
        <w:rPr>
          <w:rFonts w:cs="Arial"/>
          <w:sz w:val="22"/>
          <w:szCs w:val="22"/>
        </w:rPr>
        <w:t xml:space="preserve"> capacity of the health workforce in STI, thereby enabling the achievement of Goal </w:t>
      </w:r>
      <w:r w:rsidR="00A75EE5" w:rsidRPr="004E7A51">
        <w:rPr>
          <w:rFonts w:cs="Arial"/>
          <w:sz w:val="22"/>
          <w:szCs w:val="22"/>
        </w:rPr>
        <w:t xml:space="preserve">2 </w:t>
      </w:r>
      <w:r w:rsidRPr="004E7A51">
        <w:rPr>
          <w:rFonts w:cs="Arial"/>
          <w:sz w:val="22"/>
          <w:szCs w:val="22"/>
        </w:rPr>
        <w:t xml:space="preserve">(integrate person-centred systems for better sexual and reproductive health for all), Goal </w:t>
      </w:r>
      <w:r w:rsidR="00A75EE5" w:rsidRPr="004E7A51">
        <w:rPr>
          <w:rFonts w:cs="Arial"/>
          <w:sz w:val="22"/>
          <w:szCs w:val="22"/>
        </w:rPr>
        <w:t xml:space="preserve">3 </w:t>
      </w:r>
      <w:r w:rsidRPr="004E7A51">
        <w:rPr>
          <w:rFonts w:cs="Arial"/>
          <w:sz w:val="22"/>
          <w:szCs w:val="22"/>
        </w:rPr>
        <w:t xml:space="preserve">(increase awareness and understanding of STI as part of sexual and reproductive health for all in Australia) and Goal </w:t>
      </w:r>
      <w:r w:rsidR="000648CF" w:rsidRPr="004E7A51">
        <w:rPr>
          <w:rFonts w:cs="Arial"/>
          <w:sz w:val="22"/>
          <w:szCs w:val="22"/>
        </w:rPr>
        <w:t xml:space="preserve">4 </w:t>
      </w:r>
      <w:r w:rsidRPr="004E7A51">
        <w:rPr>
          <w:rFonts w:cs="Arial"/>
          <w:sz w:val="22"/>
          <w:szCs w:val="22"/>
        </w:rPr>
        <w:t xml:space="preserve">(eliminate the negative impact of stigma, discrimination, and legal and human rights issues on people’s health) of this </w:t>
      </w:r>
      <w:r w:rsidR="00892933">
        <w:rPr>
          <w:rFonts w:cs="Arial"/>
          <w:sz w:val="22"/>
          <w:szCs w:val="22"/>
        </w:rPr>
        <w:t>S</w:t>
      </w:r>
      <w:r w:rsidRPr="004E7A51">
        <w:rPr>
          <w:rFonts w:cs="Arial"/>
          <w:sz w:val="22"/>
          <w:szCs w:val="22"/>
        </w:rPr>
        <w:t xml:space="preserve">trategy. </w:t>
      </w:r>
    </w:p>
    <w:bookmarkEnd w:id="89"/>
    <w:p w14:paraId="4EFDFF09" w14:textId="5B5DDE1C" w:rsidR="00F41FEC" w:rsidRDefault="00F41FEC">
      <w:pPr>
        <w:rPr>
          <w:rFonts w:cs="Arial"/>
          <w:sz w:val="22"/>
          <w:szCs w:val="22"/>
        </w:rPr>
      </w:pPr>
    </w:p>
    <w:p w14:paraId="4832417D" w14:textId="6FCE0E0D" w:rsidR="00024AC7" w:rsidRPr="00442D9E" w:rsidRDefault="00E94C86" w:rsidP="00024AC7">
      <w:pPr>
        <w:rPr>
          <w:rFonts w:cs="Arial"/>
          <w:sz w:val="22"/>
          <w:szCs w:val="22"/>
        </w:rPr>
      </w:pPr>
      <w:r w:rsidRPr="00442D9E">
        <w:rPr>
          <w:rFonts w:cs="Arial"/>
          <w:noProof/>
        </w:rPr>
        <w:drawing>
          <wp:anchor distT="0" distB="0" distL="36195" distR="36195" simplePos="0" relativeHeight="251657247" behindDoc="1" locked="1" layoutInCell="1" allowOverlap="1" wp14:anchorId="63B383C8" wp14:editId="0EE373CD">
            <wp:simplePos x="0" y="0"/>
            <wp:positionH relativeFrom="page">
              <wp:posOffset>587426</wp:posOffset>
            </wp:positionH>
            <wp:positionV relativeFrom="paragraph">
              <wp:posOffset>136525</wp:posOffset>
            </wp:positionV>
            <wp:extent cx="324000" cy="187200"/>
            <wp:effectExtent l="0" t="0" r="0" b="3810"/>
            <wp:wrapTight wrapText="bothSides">
              <wp:wrapPolygon edited="0">
                <wp:start x="6353" y="0"/>
                <wp:lineTo x="0" y="4408"/>
                <wp:lineTo x="0" y="17633"/>
                <wp:lineTo x="5082" y="19837"/>
                <wp:lineTo x="15247" y="19837"/>
                <wp:lineTo x="20329" y="8816"/>
                <wp:lineTo x="20329" y="4408"/>
                <wp:lineTo x="12706" y="0"/>
                <wp:lineTo x="6353" y="0"/>
              </wp:wrapPolygon>
            </wp:wrapTight>
            <wp:docPr id="812251277" name="Graphic 812251277" descr="P8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1277" name="Graphic 812251277" descr="P827#y1">
                      <a:extLst>
                        <a:ext uri="{C183D7F6-B498-43B3-948B-1728B52AA6E4}">
                          <adec:decorative xmlns:adec="http://schemas.microsoft.com/office/drawing/2017/decorative" val="1"/>
                        </a:ext>
                      </a:extLst>
                    </pic:cNvPr>
                    <pic:cNvPicPr/>
                  </pic:nvPicPr>
                  <pic:blipFill rotWithShape="1">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rcRect t="21458" b="20714"/>
                    <a:stretch/>
                  </pic:blipFill>
                  <pic:spPr bwMode="auto">
                    <a:xfrm>
                      <a:off x="0" y="0"/>
                      <a:ext cx="324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6F275" w14:textId="1FB3D9CE" w:rsidR="00031E79" w:rsidRPr="00442D9E" w:rsidRDefault="00031E79" w:rsidP="00515EF6">
      <w:pPr>
        <w:pStyle w:val="Heading2"/>
        <w:numPr>
          <w:ilvl w:val="1"/>
          <w:numId w:val="7"/>
        </w:numPr>
        <w:rPr>
          <w:rFonts w:ascii="Arial" w:hAnsi="Arial" w:cs="Arial"/>
        </w:rPr>
      </w:pPr>
      <w:bookmarkStart w:id="91" w:name="_Toc146813403"/>
      <w:bookmarkStart w:id="92" w:name="_Toc150160965"/>
      <w:bookmarkStart w:id="93" w:name="_Toc163737191"/>
      <w:bookmarkEnd w:id="90"/>
      <w:r w:rsidRPr="22F27153">
        <w:rPr>
          <w:rFonts w:ascii="Arial" w:hAnsi="Arial" w:cs="Arial"/>
        </w:rPr>
        <w:t>Education and Awareness</w:t>
      </w:r>
      <w:bookmarkEnd w:id="91"/>
      <w:bookmarkEnd w:id="92"/>
      <w:bookmarkEnd w:id="93"/>
      <w:r w:rsidRPr="22F27153">
        <w:rPr>
          <w:rFonts w:ascii="Arial" w:hAnsi="Arial" w:cs="Arial"/>
        </w:rPr>
        <w:t xml:space="preserve">  </w:t>
      </w:r>
    </w:p>
    <w:p w14:paraId="2F503E8F" w14:textId="77777777" w:rsidR="00031E79" w:rsidRPr="00442D9E" w:rsidRDefault="00031E79" w:rsidP="00522C41">
      <w:pPr>
        <w:jc w:val="both"/>
        <w:rPr>
          <w:rFonts w:cs="Arial"/>
          <w:b/>
          <w:bCs/>
          <w:color w:val="000000" w:themeColor="text1"/>
          <w:sz w:val="22"/>
          <w:szCs w:val="22"/>
        </w:rPr>
      </w:pPr>
    </w:p>
    <w:p w14:paraId="347CB570" w14:textId="4A24C77D" w:rsidR="00031E79" w:rsidRPr="00442D9E" w:rsidRDefault="00031E79" w:rsidP="00522C41">
      <w:pPr>
        <w:jc w:val="both"/>
        <w:rPr>
          <w:rFonts w:cs="Arial"/>
          <w:color w:val="000000" w:themeColor="text1"/>
          <w:sz w:val="22"/>
          <w:szCs w:val="22"/>
        </w:rPr>
      </w:pPr>
      <w:bookmarkStart w:id="94" w:name="_Toc128135327"/>
      <w:bookmarkStart w:id="95" w:name="_Toc128136602"/>
      <w:bookmarkStart w:id="96" w:name="_Toc129870694"/>
      <w:bookmarkStart w:id="97" w:name="_Toc129870815"/>
      <w:bookmarkStart w:id="98" w:name="_Toc129871261"/>
      <w:bookmarkStart w:id="99" w:name="_Toc138151606"/>
      <w:r w:rsidRPr="00442D9E">
        <w:rPr>
          <w:rFonts w:cs="Arial"/>
          <w:color w:val="000000" w:themeColor="text1"/>
          <w:sz w:val="22"/>
          <w:szCs w:val="22"/>
        </w:rPr>
        <w:t xml:space="preserve">Normalising awareness of STI and enhancing values and attitudes around risks, rights and responsibilities </w:t>
      </w:r>
      <w:r w:rsidR="0083395D">
        <w:rPr>
          <w:rFonts w:cs="Arial"/>
          <w:color w:val="000000" w:themeColor="text1"/>
          <w:sz w:val="22"/>
          <w:szCs w:val="22"/>
        </w:rPr>
        <w:t>for</w:t>
      </w:r>
      <w:r w:rsidRPr="00442D9E">
        <w:rPr>
          <w:rFonts w:cs="Arial"/>
          <w:color w:val="000000" w:themeColor="text1"/>
          <w:sz w:val="22"/>
          <w:szCs w:val="22"/>
        </w:rPr>
        <w:t xml:space="preserve"> sexual health will achieve </w:t>
      </w:r>
      <w:r w:rsidR="0083395D">
        <w:rPr>
          <w:rFonts w:cs="Arial"/>
          <w:color w:val="000000" w:themeColor="text1"/>
          <w:sz w:val="22"/>
          <w:szCs w:val="22"/>
        </w:rPr>
        <w:t xml:space="preserve">a </w:t>
      </w:r>
      <w:r w:rsidRPr="00442D9E">
        <w:rPr>
          <w:rFonts w:cs="Arial"/>
          <w:color w:val="000000" w:themeColor="text1"/>
          <w:sz w:val="22"/>
          <w:szCs w:val="22"/>
        </w:rPr>
        <w:t>higher awareness and understanding of sexual health for all in Australia. Tailored prevention and education by and for priority populations will strengthen these efforts.</w:t>
      </w:r>
      <w:bookmarkEnd w:id="94"/>
      <w:bookmarkEnd w:id="95"/>
      <w:bookmarkEnd w:id="96"/>
      <w:bookmarkEnd w:id="97"/>
      <w:bookmarkEnd w:id="98"/>
      <w:bookmarkEnd w:id="99"/>
    </w:p>
    <w:p w14:paraId="5B7FE06B" w14:textId="77777777" w:rsidR="00031E79" w:rsidRPr="00442D9E" w:rsidRDefault="00031E79" w:rsidP="00522C41">
      <w:pPr>
        <w:jc w:val="both"/>
        <w:rPr>
          <w:rFonts w:cs="Arial"/>
          <w:b/>
          <w:bCs/>
          <w:color w:val="000000" w:themeColor="text1"/>
          <w:sz w:val="22"/>
          <w:szCs w:val="22"/>
        </w:rPr>
      </w:pPr>
    </w:p>
    <w:p w14:paraId="53D14EC6" w14:textId="3838450E"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Recognising, and seeking testing and treatment for STI</w:t>
      </w:r>
      <w:r w:rsidR="00902768" w:rsidRPr="00442D9E">
        <w:rPr>
          <w:rFonts w:cs="Arial"/>
          <w:color w:val="000000" w:themeColor="text1"/>
          <w:sz w:val="22"/>
          <w:szCs w:val="22"/>
        </w:rPr>
        <w:t>,</w:t>
      </w:r>
      <w:r w:rsidRPr="00442D9E">
        <w:rPr>
          <w:rFonts w:cs="Arial"/>
          <w:color w:val="000000" w:themeColor="text1"/>
          <w:sz w:val="22"/>
          <w:szCs w:val="22"/>
        </w:rPr>
        <w:t xml:space="preserve"> should be routine for any sexually active person. This is particularly pertinent for those who are young, with more than one sexual partner, or for anyone at the time of partner change. Australia needs a national STI campaign, as well as tailored prevention and education initiatives that are age-appropriate, culturally acceptable, translated into relevant languages other than English, and nuanced for the diverse needs of different communities</w:t>
      </w:r>
      <w:r w:rsidR="00C65DD2">
        <w:rPr>
          <w:rFonts w:cs="Arial"/>
          <w:color w:val="000000" w:themeColor="text1"/>
          <w:sz w:val="22"/>
          <w:szCs w:val="22"/>
        </w:rPr>
        <w:t>, and where appropriate, trauma informed</w:t>
      </w:r>
      <w:r w:rsidRPr="00442D9E">
        <w:rPr>
          <w:rFonts w:cs="Arial"/>
          <w:color w:val="000000" w:themeColor="text1"/>
          <w:sz w:val="22"/>
          <w:szCs w:val="22"/>
        </w:rPr>
        <w:t>.</w:t>
      </w:r>
      <w:r w:rsidR="00DB1936">
        <w:rPr>
          <w:rFonts w:cs="Arial"/>
          <w:color w:val="000000" w:themeColor="text1"/>
          <w:sz w:val="22"/>
          <w:szCs w:val="22"/>
        </w:rPr>
        <w:t xml:space="preserve"> </w:t>
      </w:r>
    </w:p>
    <w:p w14:paraId="1FC7DCF8" w14:textId="77777777" w:rsidR="00031E79" w:rsidRPr="00442D9E" w:rsidRDefault="00031E79" w:rsidP="00522C41">
      <w:pPr>
        <w:pStyle w:val="BodyText"/>
        <w:spacing w:after="0"/>
        <w:jc w:val="both"/>
        <w:rPr>
          <w:rFonts w:cs="Arial"/>
          <w:color w:val="000000" w:themeColor="text1"/>
          <w:sz w:val="22"/>
          <w:szCs w:val="22"/>
        </w:rPr>
      </w:pPr>
    </w:p>
    <w:p w14:paraId="5379F117" w14:textId="4ABB9AE8" w:rsidR="00031E79" w:rsidRPr="00442D9E" w:rsidRDefault="00031E79" w:rsidP="00103CF7">
      <w:pPr>
        <w:pStyle w:val="BodyText"/>
        <w:spacing w:after="0"/>
        <w:jc w:val="both"/>
        <w:rPr>
          <w:rFonts w:cs="Arial"/>
          <w:color w:val="000000" w:themeColor="text1"/>
          <w:sz w:val="22"/>
          <w:szCs w:val="22"/>
        </w:rPr>
      </w:pPr>
      <w:r w:rsidRPr="00442D9E">
        <w:rPr>
          <w:rFonts w:cs="Arial"/>
          <w:color w:val="000000" w:themeColor="text1"/>
          <w:sz w:val="22"/>
          <w:szCs w:val="22"/>
        </w:rPr>
        <w:t>There is a need to increase awareness about STI, including the importance of consistent and effective safer sex practises, such as</w:t>
      </w:r>
      <w:r w:rsidR="00806E7F">
        <w:rPr>
          <w:rFonts w:cs="Arial"/>
          <w:color w:val="000000" w:themeColor="text1"/>
          <w:sz w:val="22"/>
          <w:szCs w:val="22"/>
        </w:rPr>
        <w:t xml:space="preserve"> safe and correct</w:t>
      </w:r>
      <w:r w:rsidRPr="00442D9E">
        <w:rPr>
          <w:rFonts w:cs="Arial"/>
          <w:color w:val="000000" w:themeColor="text1"/>
          <w:sz w:val="22"/>
          <w:szCs w:val="22"/>
        </w:rPr>
        <w:t xml:space="preserve"> </w:t>
      </w:r>
      <w:r w:rsidR="00792BBD" w:rsidRPr="00442D9E">
        <w:rPr>
          <w:rFonts w:cs="Arial"/>
          <w:color w:val="000000" w:themeColor="text1"/>
          <w:sz w:val="22"/>
          <w:szCs w:val="22"/>
        </w:rPr>
        <w:t xml:space="preserve">use of </w:t>
      </w:r>
      <w:r w:rsidRPr="00442D9E">
        <w:rPr>
          <w:rFonts w:cs="Arial"/>
          <w:color w:val="000000" w:themeColor="text1"/>
          <w:sz w:val="22"/>
          <w:szCs w:val="22"/>
        </w:rPr>
        <w:t>condoms and other barrier method use</w:t>
      </w:r>
      <w:r w:rsidR="00D56295">
        <w:rPr>
          <w:rFonts w:cs="Arial"/>
          <w:color w:val="000000" w:themeColor="text1"/>
          <w:sz w:val="22"/>
          <w:szCs w:val="22"/>
        </w:rPr>
        <w:t xml:space="preserve">, </w:t>
      </w:r>
      <w:r w:rsidR="00806E7F">
        <w:rPr>
          <w:rFonts w:cs="Arial"/>
          <w:color w:val="000000" w:themeColor="text1"/>
          <w:sz w:val="22"/>
          <w:szCs w:val="22"/>
        </w:rPr>
        <w:t xml:space="preserve">and </w:t>
      </w:r>
      <w:r w:rsidR="00F72C53">
        <w:rPr>
          <w:rFonts w:cs="Arial"/>
          <w:color w:val="000000" w:themeColor="text1"/>
          <w:sz w:val="22"/>
          <w:szCs w:val="22"/>
        </w:rPr>
        <w:t>greater knowledge</w:t>
      </w:r>
      <w:r w:rsidR="00806E7F">
        <w:rPr>
          <w:rFonts w:cs="Arial"/>
          <w:color w:val="000000" w:themeColor="text1"/>
          <w:sz w:val="22"/>
          <w:szCs w:val="22"/>
        </w:rPr>
        <w:t xml:space="preserve"> </w:t>
      </w:r>
      <w:r w:rsidR="00F72C53">
        <w:rPr>
          <w:rFonts w:cs="Arial"/>
          <w:color w:val="000000" w:themeColor="text1"/>
          <w:sz w:val="22"/>
          <w:szCs w:val="22"/>
        </w:rPr>
        <w:t>of where to access free and affordable barrier methods</w:t>
      </w:r>
      <w:r w:rsidR="00165629" w:rsidRPr="00442D9E">
        <w:rPr>
          <w:rFonts w:cs="Arial"/>
          <w:color w:val="000000" w:themeColor="text1"/>
          <w:sz w:val="22"/>
          <w:szCs w:val="22"/>
        </w:rPr>
        <w:t xml:space="preserve">. </w:t>
      </w:r>
      <w:r w:rsidR="00B8450E" w:rsidRPr="00442D9E">
        <w:rPr>
          <w:rFonts w:cs="Arial"/>
          <w:color w:val="000000" w:themeColor="text1"/>
          <w:sz w:val="22"/>
          <w:szCs w:val="22"/>
        </w:rPr>
        <w:t>There is also a need to increase awareness about</w:t>
      </w:r>
      <w:r w:rsidRPr="00442D9E">
        <w:rPr>
          <w:rFonts w:cs="Arial"/>
          <w:color w:val="000000" w:themeColor="text1"/>
          <w:sz w:val="22"/>
          <w:szCs w:val="22"/>
        </w:rPr>
        <w:t xml:space="preserve"> the often-asymptomatic nature of STI, transmission pathways, common symptoms when they do occur, the long-term consequences of untreated STI, when and how to access appropriate services, and the importance of vaccination where available. Effective strategies should also assist in normalising and promoting early and regular testing and treatment to reduce STI-related stigma and discrimination.</w:t>
      </w:r>
    </w:p>
    <w:p w14:paraId="2919438A" w14:textId="77777777" w:rsidR="00EC3C25" w:rsidRPr="00442D9E" w:rsidRDefault="00EC3C25" w:rsidP="00103CF7">
      <w:pPr>
        <w:pStyle w:val="BodyText"/>
        <w:spacing w:after="0"/>
        <w:jc w:val="both"/>
        <w:rPr>
          <w:rFonts w:cs="Arial"/>
          <w:color w:val="000000" w:themeColor="text1"/>
          <w:sz w:val="22"/>
          <w:szCs w:val="22"/>
        </w:rPr>
      </w:pPr>
    </w:p>
    <w:p w14:paraId="57BBFC4A" w14:textId="5280D1D2" w:rsidR="00031E79" w:rsidRPr="00442D9E" w:rsidRDefault="00031E79" w:rsidP="00522C41">
      <w:pPr>
        <w:pStyle w:val="BodyText"/>
        <w:spacing w:after="0"/>
        <w:jc w:val="both"/>
        <w:rPr>
          <w:rFonts w:cs="Arial"/>
          <w:color w:val="000000" w:themeColor="text1"/>
          <w:sz w:val="22"/>
          <w:szCs w:val="22"/>
        </w:rPr>
      </w:pPr>
      <w:r w:rsidRPr="00442D9E" w:rsidDel="00DD0F53">
        <w:rPr>
          <w:rFonts w:cs="Arial"/>
          <w:color w:val="000000" w:themeColor="text1"/>
          <w:sz w:val="22"/>
          <w:szCs w:val="22"/>
        </w:rPr>
        <w:t xml:space="preserve">The timing of information about sexual health and prevention education is critical to ensure that it precedes </w:t>
      </w:r>
      <w:r w:rsidR="0083395D">
        <w:rPr>
          <w:rFonts w:cs="Arial"/>
          <w:color w:val="000000" w:themeColor="text1"/>
          <w:sz w:val="22"/>
          <w:szCs w:val="22"/>
        </w:rPr>
        <w:t>the</w:t>
      </w:r>
      <w:r w:rsidRPr="00442D9E" w:rsidDel="00DD0F53">
        <w:rPr>
          <w:rFonts w:cs="Arial"/>
          <w:color w:val="000000" w:themeColor="text1"/>
          <w:sz w:val="22"/>
          <w:szCs w:val="22"/>
        </w:rPr>
        <w:t xml:space="preserve"> initiation of sexual activity (and is reinforced in an ongoing manner after sexual activity) and is delivered incrementally in </w:t>
      </w:r>
      <w:r w:rsidR="00FD6B23">
        <w:rPr>
          <w:rFonts w:cs="Arial"/>
          <w:color w:val="000000" w:themeColor="text1"/>
          <w:sz w:val="22"/>
          <w:szCs w:val="22"/>
        </w:rPr>
        <w:t>an age and stage appropriate</w:t>
      </w:r>
      <w:r w:rsidRPr="00442D9E" w:rsidDel="00DD0F53">
        <w:rPr>
          <w:rFonts w:cs="Arial"/>
          <w:color w:val="000000" w:themeColor="text1"/>
          <w:sz w:val="22"/>
          <w:szCs w:val="22"/>
        </w:rPr>
        <w:t xml:space="preserve"> way as young people transition through adolescence and into young adulthood.</w:t>
      </w:r>
    </w:p>
    <w:p w14:paraId="67DF2005" w14:textId="77777777" w:rsidR="00EC3C25" w:rsidRPr="00442D9E" w:rsidDel="00DD0F53" w:rsidRDefault="00EC3C25" w:rsidP="00522C41">
      <w:pPr>
        <w:pStyle w:val="BodyText"/>
        <w:spacing w:after="0"/>
        <w:jc w:val="both"/>
        <w:rPr>
          <w:rFonts w:cs="Arial"/>
          <w:color w:val="000000" w:themeColor="text1"/>
          <w:sz w:val="22"/>
          <w:szCs w:val="22"/>
        </w:rPr>
      </w:pPr>
    </w:p>
    <w:p w14:paraId="361A1618" w14:textId="6FE4668C"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Raising awareness and knowledge of STI and their consequences among priority populations remains essential. This should include addressing skills to increase safer sexual behaviours and to access and navigate the health system. These activities must be relevant and accessible to the priority populations while acknowledging different cultural, social and language needs. Education and prevention initiatives should be tailored, co-designed</w:t>
      </w:r>
      <w:r w:rsidR="000201A6">
        <w:rPr>
          <w:rFonts w:cs="Arial"/>
          <w:color w:val="000000" w:themeColor="text1"/>
          <w:sz w:val="22"/>
          <w:szCs w:val="22"/>
        </w:rPr>
        <w:t>,</w:t>
      </w:r>
      <w:r w:rsidRPr="00442D9E">
        <w:rPr>
          <w:rFonts w:cs="Arial"/>
          <w:color w:val="000000" w:themeColor="text1"/>
          <w:sz w:val="22"/>
          <w:szCs w:val="22"/>
        </w:rPr>
        <w:t xml:space="preserve"> and resonant with priority populations.</w:t>
      </w:r>
    </w:p>
    <w:p w14:paraId="7D0DD3E0" w14:textId="77777777" w:rsidR="00031E79" w:rsidRPr="00442D9E" w:rsidRDefault="00031E79" w:rsidP="00522C41">
      <w:pPr>
        <w:pStyle w:val="BodyText"/>
        <w:spacing w:after="0"/>
        <w:jc w:val="both"/>
        <w:rPr>
          <w:rFonts w:cs="Arial"/>
          <w:color w:val="000000" w:themeColor="text1"/>
          <w:sz w:val="22"/>
          <w:szCs w:val="22"/>
        </w:rPr>
      </w:pPr>
    </w:p>
    <w:p w14:paraId="748F0706" w14:textId="7227136C" w:rsidR="00031E79" w:rsidRPr="00442D9E" w:rsidRDefault="007C6913" w:rsidP="00522C41">
      <w:pPr>
        <w:pStyle w:val="BodyText"/>
        <w:spacing w:after="0"/>
        <w:jc w:val="both"/>
        <w:rPr>
          <w:rFonts w:cs="Arial"/>
          <w:color w:val="000000" w:themeColor="text1"/>
          <w:sz w:val="22"/>
          <w:szCs w:val="22"/>
        </w:rPr>
      </w:pPr>
      <w:r>
        <w:rPr>
          <w:rFonts w:cs="Arial"/>
          <w:color w:val="000000" w:themeColor="text1"/>
          <w:sz w:val="22"/>
          <w:szCs w:val="22"/>
        </w:rPr>
        <w:t>R</w:t>
      </w:r>
      <w:r w:rsidR="00D469C4" w:rsidRPr="00D469C4">
        <w:rPr>
          <w:rFonts w:cs="Arial"/>
          <w:color w:val="000000" w:themeColor="text1"/>
          <w:sz w:val="22"/>
          <w:szCs w:val="22"/>
        </w:rPr>
        <w:t xml:space="preserve">elationships and sexuality education (RSE) with comprehensive sexual and reproductive health (SRH) content </w:t>
      </w:r>
      <w:r>
        <w:rPr>
          <w:rFonts w:cs="Arial"/>
          <w:color w:val="000000" w:themeColor="text1"/>
          <w:sz w:val="22"/>
          <w:szCs w:val="22"/>
        </w:rPr>
        <w:t>that is both a</w:t>
      </w:r>
      <w:r w:rsidRPr="00D469C4">
        <w:rPr>
          <w:rFonts w:cs="Arial"/>
          <w:color w:val="000000" w:themeColor="text1"/>
          <w:sz w:val="22"/>
          <w:szCs w:val="22"/>
        </w:rPr>
        <w:t>ge</w:t>
      </w:r>
      <w:r>
        <w:rPr>
          <w:rFonts w:cs="Arial"/>
          <w:color w:val="000000" w:themeColor="text1"/>
          <w:sz w:val="22"/>
          <w:szCs w:val="22"/>
        </w:rPr>
        <w:t xml:space="preserve"> and stage appropriate</w:t>
      </w:r>
      <w:r w:rsidR="00FE019C">
        <w:rPr>
          <w:rFonts w:cs="Arial"/>
          <w:color w:val="000000" w:themeColor="text1"/>
          <w:sz w:val="22"/>
          <w:szCs w:val="22"/>
        </w:rPr>
        <w:t xml:space="preserve">, </w:t>
      </w:r>
      <w:r w:rsidRPr="00D469C4">
        <w:rPr>
          <w:rFonts w:cs="Arial"/>
          <w:color w:val="000000" w:themeColor="text1"/>
          <w:sz w:val="22"/>
          <w:szCs w:val="22"/>
        </w:rPr>
        <w:t xml:space="preserve">culturally </w:t>
      </w:r>
      <w:r>
        <w:rPr>
          <w:rFonts w:cs="Arial"/>
          <w:color w:val="000000" w:themeColor="text1"/>
          <w:sz w:val="22"/>
          <w:szCs w:val="22"/>
        </w:rPr>
        <w:t>responsive,</w:t>
      </w:r>
      <w:r w:rsidRPr="00D469C4">
        <w:rPr>
          <w:rFonts w:cs="Arial"/>
          <w:color w:val="000000" w:themeColor="text1"/>
          <w:sz w:val="22"/>
          <w:szCs w:val="22"/>
        </w:rPr>
        <w:t xml:space="preserve"> </w:t>
      </w:r>
      <w:r w:rsidR="00FE019C">
        <w:rPr>
          <w:rFonts w:cs="Arial"/>
          <w:color w:val="000000" w:themeColor="text1"/>
          <w:sz w:val="22"/>
          <w:szCs w:val="22"/>
        </w:rPr>
        <w:t>and disability inclusive</w:t>
      </w:r>
      <w:r w:rsidR="005E0CAA">
        <w:rPr>
          <w:rFonts w:cs="Arial"/>
          <w:color w:val="000000" w:themeColor="text1"/>
          <w:sz w:val="22"/>
          <w:szCs w:val="22"/>
        </w:rPr>
        <w:t xml:space="preserve">, </w:t>
      </w:r>
      <w:r w:rsidR="00D469C4" w:rsidRPr="00D469C4">
        <w:rPr>
          <w:rFonts w:cs="Arial"/>
          <w:color w:val="000000" w:themeColor="text1"/>
          <w:sz w:val="22"/>
          <w:szCs w:val="22"/>
        </w:rPr>
        <w:t>should be provided to both Australian school students and young people who are no longer in school</w:t>
      </w:r>
      <w:r w:rsidR="00D469C4">
        <w:rPr>
          <w:rFonts w:cs="Arial"/>
          <w:color w:val="000000" w:themeColor="text1"/>
          <w:sz w:val="22"/>
          <w:szCs w:val="22"/>
        </w:rPr>
        <w:t xml:space="preserve">. </w:t>
      </w:r>
      <w:r w:rsidR="00031E79" w:rsidRPr="00442D9E">
        <w:rPr>
          <w:rFonts w:cs="Arial"/>
          <w:color w:val="000000" w:themeColor="text1"/>
          <w:sz w:val="22"/>
          <w:szCs w:val="22"/>
        </w:rPr>
        <w:t>There is also room for primary care, sexual health</w:t>
      </w:r>
      <w:r w:rsidR="000201A6">
        <w:rPr>
          <w:rFonts w:cs="Arial"/>
          <w:color w:val="000000" w:themeColor="text1"/>
          <w:sz w:val="22"/>
          <w:szCs w:val="22"/>
        </w:rPr>
        <w:t>,</w:t>
      </w:r>
      <w:r w:rsidR="00031E79" w:rsidRPr="00442D9E">
        <w:rPr>
          <w:rFonts w:cs="Arial"/>
          <w:color w:val="000000" w:themeColor="text1"/>
          <w:sz w:val="22"/>
          <w:szCs w:val="22"/>
        </w:rPr>
        <w:t xml:space="preserve"> and other healthcare services to be more effective and proactive in engaging with young people on STI issues, including prevention education, promotion of immunisation and STI testing and treatment, and connecting young people to other STI education and support services.</w:t>
      </w:r>
    </w:p>
    <w:p w14:paraId="3D31B927" w14:textId="77777777" w:rsidR="00031E79" w:rsidRPr="00442D9E" w:rsidRDefault="00031E79" w:rsidP="00522C41">
      <w:pPr>
        <w:pStyle w:val="BodyText"/>
        <w:spacing w:after="0"/>
        <w:jc w:val="both"/>
        <w:rPr>
          <w:rFonts w:cs="Arial"/>
          <w:color w:val="000000" w:themeColor="text1"/>
          <w:sz w:val="22"/>
          <w:szCs w:val="22"/>
        </w:rPr>
      </w:pPr>
    </w:p>
    <w:p w14:paraId="42A1CE69" w14:textId="701204D7"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There is emerging evidence that interventions utilising digital media (including social media and other platforms) can improve STI and sexual health knowledge.</w:t>
      </w:r>
      <w:r w:rsidR="008B43F1">
        <w:rPr>
          <w:rFonts w:ascii="ZWAdobeF" w:hAnsi="ZWAdobeF" w:cs="ZWAdobeF"/>
          <w:sz w:val="2"/>
          <w:szCs w:val="2"/>
        </w:rPr>
        <w:t>112F</w:t>
      </w:r>
      <w:r w:rsidRPr="00442D9E">
        <w:rPr>
          <w:rStyle w:val="EndnoteReference"/>
          <w:rFonts w:cs="Arial"/>
          <w:color w:val="000000" w:themeColor="text1"/>
          <w:sz w:val="22"/>
          <w:szCs w:val="22"/>
        </w:rPr>
        <w:endnoteReference w:id="112"/>
      </w:r>
      <w:r w:rsidRPr="00442D9E">
        <w:rPr>
          <w:rFonts w:cs="Arial"/>
          <w:color w:val="000000" w:themeColor="text1"/>
          <w:sz w:val="22"/>
          <w:szCs w:val="22"/>
          <w:vertAlign w:val="superscript"/>
        </w:rPr>
        <w:t>,</w:t>
      </w:r>
      <w:r w:rsidR="008B43F1">
        <w:rPr>
          <w:rFonts w:ascii="ZWAdobeF" w:hAnsi="ZWAdobeF" w:cs="ZWAdobeF"/>
          <w:sz w:val="2"/>
          <w:szCs w:val="2"/>
        </w:rPr>
        <w:t>113F</w:t>
      </w:r>
      <w:r w:rsidRPr="00442D9E">
        <w:rPr>
          <w:rStyle w:val="EndnoteReference"/>
          <w:rFonts w:cs="Arial"/>
          <w:color w:val="000000" w:themeColor="text1"/>
          <w:sz w:val="22"/>
          <w:szCs w:val="22"/>
        </w:rPr>
        <w:endnoteReference w:id="113"/>
      </w:r>
      <w:r w:rsidRPr="00442D9E">
        <w:rPr>
          <w:rFonts w:cs="Arial"/>
          <w:color w:val="000000" w:themeColor="text1"/>
          <w:sz w:val="22"/>
          <w:szCs w:val="22"/>
          <w:vertAlign w:val="superscript"/>
        </w:rPr>
        <w:t xml:space="preserve"> </w:t>
      </w:r>
      <w:r w:rsidRPr="00442D9E">
        <w:rPr>
          <w:rFonts w:cs="Arial"/>
          <w:color w:val="000000" w:themeColor="text1"/>
          <w:sz w:val="22"/>
          <w:szCs w:val="22"/>
        </w:rPr>
        <w:t>Mass media (such as radio and television) as part of a comprehensive response, may also be effective in assisting to promote conversation and awareness and improve safer sex attitudes and behaviours. Where education and prevention initiatives are delivered is also critical and must be in the context of priority settings specific to each priority population, including where they live, work</w:t>
      </w:r>
      <w:r w:rsidR="00432803">
        <w:rPr>
          <w:rFonts w:cs="Arial"/>
          <w:color w:val="000000" w:themeColor="text1"/>
          <w:sz w:val="22"/>
          <w:szCs w:val="22"/>
        </w:rPr>
        <w:t>,</w:t>
      </w:r>
      <w:r w:rsidRPr="00442D9E">
        <w:rPr>
          <w:rFonts w:cs="Arial"/>
          <w:color w:val="000000" w:themeColor="text1"/>
          <w:sz w:val="22"/>
          <w:szCs w:val="22"/>
        </w:rPr>
        <w:t xml:space="preserve"> and socialise. This includes static </w:t>
      </w:r>
      <w:r w:rsidRPr="00442D9E">
        <w:rPr>
          <w:rFonts w:cs="Arial"/>
          <w:color w:val="000000" w:themeColor="text1"/>
          <w:sz w:val="22"/>
          <w:szCs w:val="22"/>
        </w:rPr>
        <w:lastRenderedPageBreak/>
        <w:t>efforts (such as billboards and printed materials) and interactive efforts (such as outreach and peer engagement).</w:t>
      </w:r>
    </w:p>
    <w:p w14:paraId="6FFB762E" w14:textId="77777777" w:rsidR="00031E79" w:rsidRPr="00442D9E" w:rsidRDefault="00031E79" w:rsidP="00522C41">
      <w:pPr>
        <w:pStyle w:val="BodyText"/>
        <w:spacing w:after="0"/>
        <w:jc w:val="both"/>
        <w:rPr>
          <w:rFonts w:cs="Arial"/>
          <w:color w:val="000000" w:themeColor="text1"/>
          <w:sz w:val="22"/>
          <w:szCs w:val="22"/>
        </w:rPr>
      </w:pPr>
    </w:p>
    <w:p w14:paraId="1CF1C59D" w14:textId="70B3A27B"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 xml:space="preserve">Implementing STI prevention and education initiatives for priority populations to improve knowledge of risk management and prevention methods assists in reducing STI-related stigma and supports pathways to early testing and treatment. This includes a focus on infectious syphilis, particularly in </w:t>
      </w:r>
      <w:r w:rsidR="009E5590">
        <w:rPr>
          <w:rFonts w:cs="Arial"/>
          <w:color w:val="000000" w:themeColor="text1"/>
          <w:sz w:val="22"/>
          <w:szCs w:val="22"/>
        </w:rPr>
        <w:t>Aboriginal and Torres Strait Islander</w:t>
      </w:r>
      <w:r w:rsidRPr="00442D9E">
        <w:rPr>
          <w:rFonts w:cs="Arial"/>
          <w:color w:val="000000" w:themeColor="text1"/>
          <w:sz w:val="22"/>
          <w:szCs w:val="22"/>
        </w:rPr>
        <w:t xml:space="preserve"> communities, people who can get pregnant and their partners, and metropolitan gay, bisexual and other men who have sex with men. Ideally, initiatives should be co-designed for effective engagement and to ensure that appropriate languages and terminology are adapted to meet the diverse needs of populations. These initiatives should be tailored, age-appropriate and culturally appropriate and use a variety of relevant channels, including digital media (for example, social media platforms), mass media (such as radio and television) and in-person and online sites frequented by communities.</w:t>
      </w:r>
    </w:p>
    <w:p w14:paraId="12A29B70" w14:textId="77777777" w:rsidR="00031E79" w:rsidRPr="00442D9E" w:rsidRDefault="00031E79" w:rsidP="00522C41">
      <w:pPr>
        <w:pStyle w:val="BodyText"/>
        <w:spacing w:after="0"/>
        <w:jc w:val="both"/>
        <w:rPr>
          <w:rFonts w:cs="Arial"/>
          <w:color w:val="000000" w:themeColor="text1"/>
          <w:sz w:val="22"/>
          <w:szCs w:val="22"/>
        </w:rPr>
      </w:pPr>
    </w:p>
    <w:p w14:paraId="6E3C9BB2" w14:textId="06AD9D5D"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Peer education and support have played important roles in reducing STI transmission and connecting with some marginalised and vulnerable populations. Peers are credible, trusted sources of information and can assist in overcoming physical and socio-cultural barriers. Sex workers, for example, have played a longstanding and pivotal role in health promotion by establishing partnerships in community health initiatives and being pioneers in peer education programs. For some priority populations, effective STI education includes the use of digital platforms and social networking sites that are frequently used to meet sexual partners. Street outreach, self-collection and peer-based and online testing have demonstrated effectiveness in reaching priority populations.</w:t>
      </w:r>
      <w:r w:rsidRPr="00442D9E">
        <w:rPr>
          <w:rStyle w:val="EndnoteReference"/>
          <w:rFonts w:cs="Arial"/>
        </w:rPr>
        <w:t>37</w:t>
      </w:r>
      <w:r w:rsidRPr="00442D9E">
        <w:rPr>
          <w:rFonts w:cs="Arial"/>
          <w:color w:val="000000" w:themeColor="text1"/>
          <w:sz w:val="22"/>
          <w:szCs w:val="22"/>
        </w:rPr>
        <w:t xml:space="preserve"> These efforts should also be supported by a systematic increase in opportunities for priority groups to have STI tests, including by appropriate use of new testing technologies.</w:t>
      </w:r>
    </w:p>
    <w:p w14:paraId="649836DA" w14:textId="77777777" w:rsidR="006C0A31" w:rsidRPr="00442D9E" w:rsidRDefault="006C0A31" w:rsidP="00082440">
      <w:pPr>
        <w:pStyle w:val="BodyText"/>
        <w:spacing w:after="0"/>
        <w:jc w:val="both"/>
        <w:rPr>
          <w:rFonts w:cs="Arial"/>
          <w:color w:val="000000" w:themeColor="text1"/>
          <w:sz w:val="22"/>
          <w:szCs w:val="22"/>
        </w:rPr>
      </w:pPr>
    </w:p>
    <w:p w14:paraId="202FB908" w14:textId="0097863C" w:rsidR="00341770" w:rsidRDefault="00A62247">
      <w:pPr>
        <w:rPr>
          <w:rFonts w:cs="Arial"/>
          <w:color w:val="000000" w:themeColor="text1"/>
          <w:sz w:val="22"/>
          <w:szCs w:val="22"/>
        </w:rPr>
      </w:pPr>
      <w:r w:rsidRPr="00B4151B">
        <w:rPr>
          <w:rFonts w:cs="Arial"/>
          <w:noProof/>
          <w:color w:val="000000" w:themeColor="text1"/>
          <w:sz w:val="22"/>
          <w:szCs w:val="22"/>
        </w:rPr>
        <w:lastRenderedPageBreak/>
        <mc:AlternateContent>
          <mc:Choice Requires="wps">
            <w:drawing>
              <wp:inline distT="0" distB="0" distL="0" distR="0" wp14:anchorId="5005596D" wp14:editId="5C1B2A42">
                <wp:extent cx="6106601" cy="1404620"/>
                <wp:effectExtent l="19050" t="19050" r="27940" b="27940"/>
                <wp:docPr id="581574508" name="Text Box 581574508" descr="P848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601" cy="1404620"/>
                        </a:xfrm>
                        <a:prstGeom prst="rect">
                          <a:avLst/>
                        </a:prstGeom>
                        <a:solidFill>
                          <a:schemeClr val="accent2">
                            <a:lumMod val="20000"/>
                            <a:lumOff val="80000"/>
                            <a:alpha val="75000"/>
                          </a:schemeClr>
                        </a:solidFill>
                        <a:ln w="28575">
                          <a:solidFill>
                            <a:srgbClr val="FE9648">
                              <a:alpha val="74902"/>
                            </a:srgbClr>
                          </a:solidFill>
                          <a:miter lim="800000"/>
                          <a:headEnd/>
                          <a:tailEnd/>
                        </a:ln>
                      </wps:spPr>
                      <wps:txbx>
                        <w:txbxContent>
                          <w:p w14:paraId="39BDDA80"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62FF2866" w14:textId="0446DB42" w:rsidR="00894F38" w:rsidRPr="00A62247" w:rsidRDefault="00894F38" w:rsidP="00A62247">
                            <w:pPr>
                              <w:spacing w:after="120"/>
                            </w:pPr>
                            <w:r w:rsidRPr="00A62247">
                              <w:t xml:space="preserve">Two case studies demonstrate initiatives and innovations in education and awareness raising for different priority populations. </w:t>
                            </w:r>
                          </w:p>
                          <w:p w14:paraId="15E189E5" w14:textId="01117D01" w:rsidR="00894F38" w:rsidRPr="00A62247" w:rsidRDefault="00894F38" w:rsidP="00A62247">
                            <w:pPr>
                              <w:spacing w:after="120"/>
                            </w:pPr>
                            <w:r w:rsidRPr="00A62247">
                              <w:t>The Western Australia Department of Health provides several free resources to young people, parents, schools</w:t>
                            </w:r>
                            <w:r>
                              <w:t>,</w:t>
                            </w:r>
                            <w:r w:rsidRPr="00A62247">
                              <w:t xml:space="preserve"> and the community, in recognition of the vital role that comprehensive relationships and sexuality education (RSE) plays in preventing STI and BBV and reducing public health impacts. These resources include Growing and Developing Healthy Relationships resource and teacher training program available free to all WA schools; Talk soon, Talk often to support parents in having regular open conversations with their children about age- and stage-appropriate RSE topics; Yarning Quiet Ways for Aboriginal parents and their children; and Get the Facts website that provides sexual health information and free online STI testing. In 2021-2022, the Growing and Developing Healthy Relationships website received more than 230,000 unique visits, while the Get the Fact website attracted more than 752,000 visitors.</w:t>
                            </w:r>
                          </w:p>
                          <w:p w14:paraId="5A374C93" w14:textId="551FB37C" w:rsidR="00894F38" w:rsidRPr="003B2996" w:rsidRDefault="00894F38" w:rsidP="003B2996">
                            <w:pPr>
                              <w:spacing w:after="120"/>
                            </w:pPr>
                            <w:r w:rsidRPr="00A62247">
                              <w:t>In New South Wales, the Sydney Sexual Health Centre, has been at the forefront of many service delivery innovations, including a[TEST] and MyCheck. A[TEST] is a free and confidential rapid HIV and STI testing service for gay, bisexual</w:t>
                            </w:r>
                            <w:r>
                              <w:t>,</w:t>
                            </w:r>
                            <w:r w:rsidRPr="00A62247">
                              <w:t xml:space="preserve"> and other men who have sex with men. Recently, an a[TEST] Chinese Clinic has been established to provide Mandarin-speaking gay men and men who have sex with men with easier access to sexual health screenings and information. MyCheck was launched with the NSW Sexual Health Infolink as a pilot scheme in 2021, to enable access to free testing at a location convenient for them and is now being scaled up across publicly funded sexual health clinics in NSW. See </w:t>
                            </w:r>
                            <w:hyperlink w:anchor="_Appendix_A:_CASE" w:history="1">
                              <w:r w:rsidRPr="00A62247">
                                <w:rPr>
                                  <w:rStyle w:val="Hyperlink"/>
                                </w:rPr>
                                <w:t>Appendix A</w:t>
                              </w:r>
                            </w:hyperlink>
                            <w:r w:rsidRPr="00A62247">
                              <w:t xml:space="preserve"> for more detail on these case studies.</w:t>
                            </w:r>
                          </w:p>
                        </w:txbxContent>
                      </wps:txbx>
                      <wps:bodyPr rot="0" vert="horz" wrap="square" lIns="144000" tIns="144000" rIns="144000" bIns="144000" anchor="t" anchorCtr="0">
                        <a:spAutoFit/>
                      </wps:bodyPr>
                    </wps:wsp>
                  </a:graphicData>
                </a:graphic>
              </wp:inline>
            </w:drawing>
          </mc:Choice>
          <mc:Fallback>
            <w:pict>
              <v:shape w14:anchorId="5005596D" id="Text Box 581574508" o:spid="_x0000_s1039" type="#_x0000_t202" alt="P848TB14#y1" style="width:480.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" fillcolor="#fbe4d5 [661]" strokecolor="#fe9648" strokeweight="2.25pt">
                <v:fill opacity="49087f"/>
                <v:stroke opacity="49087f"/>
                <v:textbox style="mso-fit-shape-to-text:t" inset="4mm,4mm,4mm,4mm">
                  <w:txbxContent>
                    <w:p w14:paraId="39BDDA80"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62FF2866" w14:textId="0446DB42" w:rsidR="00894F38" w:rsidRPr="00A62247" w:rsidRDefault="00894F38" w:rsidP="00A62247">
                      <w:pPr>
                        <w:spacing w:after="120"/>
                      </w:pPr>
                      <w:r w:rsidRPr="00A62247">
                        <w:t xml:space="preserve">Two case studies demonstrate initiatives and innovations in education and awareness raising for different priority populations. </w:t>
                      </w:r>
                    </w:p>
                    <w:p w14:paraId="15E189E5" w14:textId="01117D01" w:rsidR="00894F38" w:rsidRPr="00A62247" w:rsidRDefault="00894F38" w:rsidP="00A62247">
                      <w:pPr>
                        <w:spacing w:after="120"/>
                      </w:pPr>
                      <w:r w:rsidRPr="00A62247">
                        <w:t>The Western Australia Department of Health provides several free resources to young people, parents, schools</w:t>
                      </w:r>
                      <w:r>
                        <w:t>,</w:t>
                      </w:r>
                      <w:r w:rsidRPr="00A62247">
                        <w:t xml:space="preserve"> and the community, in recognition of the vital role that comprehensive relationships and sexuality education (RSE) plays in preventing STI and BBV and reducing public health impacts. These resources include Growing and Developing Healthy Relationships resource and teacher training program available free to all WA schools; Talk soon, Talk often to support parents in having regular open conversations with their children about age- and stage-appropriate RSE topics; Yarning Quiet Ways for Aboriginal parents and their children; and Get the Facts website that provides sexual health information and free online STI testing. In 2021-2022, the Growing and Developing Healthy Relationships website received more than 230,000 unique visits, while the Get the Fact website attracted more than 752,000 visitors.</w:t>
                      </w:r>
                    </w:p>
                    <w:p w14:paraId="5A374C93" w14:textId="551FB37C" w:rsidR="00894F38" w:rsidRPr="003B2996" w:rsidRDefault="00894F38" w:rsidP="003B2996">
                      <w:pPr>
                        <w:spacing w:after="120"/>
                      </w:pPr>
                      <w:r w:rsidRPr="00A62247">
                        <w:t>In New South Wales, the Sydney Sexual Health Centre, has been at the forefront of many service delivery innovations, including a[TEST] and MyCheck. A[TEST] is a free and confidential rapid HIV and STI testing service for gay, bisexual</w:t>
                      </w:r>
                      <w:r>
                        <w:t>,</w:t>
                      </w:r>
                      <w:r w:rsidRPr="00A62247">
                        <w:t xml:space="preserve"> and other men who have sex with men. Recently, an a[TEST] Chinese Clinic has been established to provide Mandarin-speaking gay men and men who have sex with men with easier access to sexual health screenings and information. MyCheck was launched with the NSW Sexual Health Infolink as a pilot scheme in 2021, to enable access to free testing at a location convenient for them and is now being scaled up across publicly funded sexual health clinics in NSW. See </w:t>
                      </w:r>
                      <w:hyperlink w:anchor="_Appendix_A:_CASE" w:history="1">
                        <w:r w:rsidRPr="00A62247">
                          <w:rPr>
                            <w:rStyle w:val="Hyperlink"/>
                          </w:rPr>
                          <w:t>Appendix A</w:t>
                        </w:r>
                      </w:hyperlink>
                      <w:r w:rsidRPr="00A62247">
                        <w:t xml:space="preserve"> for more detail on these case studies.</w:t>
                      </w:r>
                    </w:p>
                  </w:txbxContent>
                </v:textbox>
                <w10:anchorlock/>
              </v:shape>
            </w:pict>
          </mc:Fallback>
        </mc:AlternateContent>
      </w:r>
      <w:r w:rsidR="00341770">
        <w:rPr>
          <w:rFonts w:cs="Arial"/>
          <w:color w:val="000000" w:themeColor="text1"/>
          <w:sz w:val="22"/>
          <w:szCs w:val="22"/>
        </w:rPr>
        <w:br w:type="page"/>
      </w:r>
    </w:p>
    <w:p w14:paraId="634EE8DD" w14:textId="30C1BA41" w:rsidR="00031E79" w:rsidRDefault="00DE41E4" w:rsidP="00DE41E4">
      <w:pPr>
        <w:pStyle w:val="Caption"/>
        <w:rPr>
          <w:rFonts w:cs="Arial"/>
          <w:color w:val="000000" w:themeColor="text1"/>
          <w:szCs w:val="22"/>
          <w:lang w:val="en-AU"/>
        </w:rPr>
      </w:pPr>
      <w:r>
        <w:lastRenderedPageBreak/>
        <w:t xml:space="preserve">Table </w:t>
      </w:r>
      <w:r>
        <w:fldChar w:fldCharType="begin"/>
      </w:r>
      <w:r>
        <w:instrText xml:space="preserve"> SEQ Table \* ARABIC </w:instrText>
      </w:r>
      <w:r>
        <w:fldChar w:fldCharType="separate"/>
      </w:r>
      <w:r w:rsidR="00853142">
        <w:rPr>
          <w:noProof/>
        </w:rPr>
        <w:t>5</w:t>
      </w:r>
      <w:r>
        <w:fldChar w:fldCharType="end"/>
      </w:r>
      <w:r>
        <w:t>: Key areas for action: Education and Awareness</w:t>
      </w:r>
    </w:p>
    <w:tbl>
      <w:tblPr>
        <w:tblW w:w="0" w:type="auto"/>
        <w:tblBorders>
          <w:top w:val="single" w:sz="8" w:space="0" w:color="F7941D"/>
          <w:left w:val="single" w:sz="8" w:space="0" w:color="F7941D"/>
          <w:bottom w:val="single" w:sz="8" w:space="0" w:color="F7941D"/>
          <w:right w:val="single" w:sz="8" w:space="0" w:color="F7941D"/>
          <w:insideH w:val="single" w:sz="8" w:space="0" w:color="F7941D"/>
          <w:insideV w:val="single" w:sz="8" w:space="0" w:color="F7941D"/>
        </w:tblBorders>
        <w:tblLayout w:type="fixed"/>
        <w:tblCellMar>
          <w:left w:w="170" w:type="dxa"/>
          <w:right w:w="170" w:type="dxa"/>
        </w:tblCellMar>
        <w:tblLook w:val="0000" w:firstRow="0" w:lastRow="0" w:firstColumn="0" w:lastColumn="0" w:noHBand="0" w:noVBand="0"/>
      </w:tblPr>
      <w:tblGrid>
        <w:gridCol w:w="983"/>
        <w:gridCol w:w="8629"/>
      </w:tblGrid>
      <w:tr w:rsidR="005235F3" w14:paraId="541EC510" w14:textId="77777777" w:rsidTr="06DE5C08">
        <w:tc>
          <w:tcPr>
            <w:tcW w:w="9612" w:type="dxa"/>
            <w:gridSpan w:val="2"/>
            <w:shd w:val="clear" w:color="auto" w:fill="FE9648"/>
          </w:tcPr>
          <w:p w14:paraId="50D69BAB" w14:textId="32D410A8" w:rsidR="005235F3" w:rsidRPr="00952A93" w:rsidRDefault="005235F3">
            <w:pPr>
              <w:pStyle w:val="BodyText"/>
              <w:spacing w:before="120"/>
              <w:jc w:val="both"/>
              <w:rPr>
                <w:rFonts w:cs="Arial"/>
                <w:b/>
                <w:bCs/>
                <w:color w:val="000000"/>
                <w:sz w:val="22"/>
                <w:szCs w:val="22"/>
              </w:rPr>
            </w:pPr>
            <w:r w:rsidRPr="00952A93">
              <w:rPr>
                <w:rFonts w:cs="Arial"/>
                <w:b/>
                <w:bCs/>
                <w:color w:val="000000"/>
                <w:sz w:val="22"/>
                <w:szCs w:val="22"/>
              </w:rPr>
              <w:t xml:space="preserve">KEY AREAS FOR ACTION – </w:t>
            </w:r>
            <w:r w:rsidR="0044513D" w:rsidRPr="00952A93">
              <w:rPr>
                <w:rFonts w:cs="Arial"/>
                <w:b/>
                <w:bCs/>
                <w:color w:val="000000"/>
                <w:sz w:val="22"/>
                <w:szCs w:val="22"/>
              </w:rPr>
              <w:t>Education and Awareness</w:t>
            </w:r>
          </w:p>
        </w:tc>
      </w:tr>
      <w:tr w:rsidR="00C61224" w14:paraId="07090DDD" w14:textId="77777777" w:rsidTr="06DE5C08">
        <w:tc>
          <w:tcPr>
            <w:tcW w:w="983" w:type="dxa"/>
            <w:tcBorders>
              <w:right w:val="nil"/>
            </w:tcBorders>
          </w:tcPr>
          <w:p w14:paraId="3B7ADDC4" w14:textId="6C2E4905" w:rsidR="005235F3" w:rsidRPr="00771B0D" w:rsidRDefault="002F3E68" w:rsidP="005235F3">
            <w:pPr>
              <w:pStyle w:val="BodyText"/>
              <w:spacing w:before="120"/>
              <w:jc w:val="center"/>
              <w:rPr>
                <w:rFonts w:cs="Arial"/>
                <w:b/>
                <w:bCs/>
                <w:color w:val="F7941D"/>
                <w:sz w:val="56"/>
                <w:szCs w:val="56"/>
              </w:rPr>
            </w:pPr>
            <w:r>
              <w:rPr>
                <w:rFonts w:cs="Arial"/>
                <w:b/>
                <w:bCs/>
                <w:color w:val="F7941D"/>
                <w:sz w:val="56"/>
                <w:szCs w:val="56"/>
              </w:rPr>
              <w:t>10</w:t>
            </w:r>
          </w:p>
        </w:tc>
        <w:tc>
          <w:tcPr>
            <w:tcW w:w="8629" w:type="dxa"/>
            <w:tcBorders>
              <w:left w:val="nil"/>
            </w:tcBorders>
          </w:tcPr>
          <w:p w14:paraId="739A71B4" w14:textId="7676D5AA" w:rsidR="005235F3" w:rsidRPr="006947E0" w:rsidRDefault="0042326C" w:rsidP="005235F3">
            <w:pPr>
              <w:pStyle w:val="BodyText"/>
              <w:spacing w:before="120"/>
              <w:rPr>
                <w:rFonts w:cs="Arial"/>
                <w:color w:val="000000" w:themeColor="text1"/>
                <w:sz w:val="22"/>
                <w:szCs w:val="22"/>
              </w:rPr>
            </w:pPr>
            <w:r w:rsidRPr="0042326C">
              <w:rPr>
                <w:rFonts w:cs="Arial"/>
                <w:color w:val="000000" w:themeColor="text1"/>
                <w:sz w:val="22"/>
                <w:szCs w:val="22"/>
              </w:rPr>
              <w:t xml:space="preserve">Commission targeted STI health promotion initiatives, </w:t>
            </w:r>
            <w:r w:rsidRPr="40015EB9">
              <w:rPr>
                <w:rFonts w:cs="Arial"/>
                <w:color w:val="000000" w:themeColor="text1"/>
                <w:sz w:val="22"/>
                <w:szCs w:val="22"/>
              </w:rPr>
              <w:t>codesigned</w:t>
            </w:r>
            <w:r w:rsidRPr="0042326C">
              <w:rPr>
                <w:rFonts w:cs="Arial"/>
                <w:color w:val="000000" w:themeColor="text1"/>
                <w:sz w:val="22"/>
                <w:szCs w:val="22"/>
              </w:rPr>
              <w:t xml:space="preserve"> and tailored to priority populations and regions</w:t>
            </w:r>
            <w:r w:rsidRPr="0042326C" w:rsidDel="0042326C">
              <w:rPr>
                <w:rFonts w:cs="Arial"/>
                <w:color w:val="000000" w:themeColor="text1"/>
                <w:sz w:val="22"/>
                <w:szCs w:val="22"/>
              </w:rPr>
              <w:t xml:space="preserve"> </w:t>
            </w:r>
            <w:r w:rsidR="00B064D1">
              <w:rPr>
                <w:rFonts w:cs="Arial"/>
                <w:color w:val="000000" w:themeColor="text1"/>
                <w:sz w:val="22"/>
                <w:szCs w:val="22"/>
              </w:rPr>
              <w:t xml:space="preserve">that </w:t>
            </w:r>
            <w:r w:rsidR="00FB3A85">
              <w:rPr>
                <w:rFonts w:cs="Arial"/>
                <w:color w:val="000000" w:themeColor="text1"/>
                <w:sz w:val="22"/>
                <w:szCs w:val="22"/>
              </w:rPr>
              <w:t>use strength-based language</w:t>
            </w:r>
            <w:r w:rsidR="00FB3A85" w:rsidRPr="00EF79B8">
              <w:rPr>
                <w:rFonts w:cs="Arial"/>
                <w:color w:val="000000" w:themeColor="text1"/>
                <w:sz w:val="22"/>
                <w:szCs w:val="22"/>
              </w:rPr>
              <w:t xml:space="preserve"> </w:t>
            </w:r>
            <w:r w:rsidR="00E11026">
              <w:rPr>
                <w:rFonts w:cs="Arial"/>
                <w:color w:val="000000" w:themeColor="text1"/>
                <w:sz w:val="22"/>
                <w:szCs w:val="22"/>
              </w:rPr>
              <w:t>which</w:t>
            </w:r>
            <w:r w:rsidR="005235F3" w:rsidRPr="00EF79B8">
              <w:rPr>
                <w:rFonts w:cs="Arial"/>
                <w:color w:val="000000" w:themeColor="text1"/>
                <w:sz w:val="22"/>
                <w:szCs w:val="22"/>
              </w:rPr>
              <w:t xml:space="preserve"> is inclusive and affirms sexuality. I</w:t>
            </w:r>
            <w:r w:rsidR="00A35C1A">
              <w:rPr>
                <w:rFonts w:cs="Arial"/>
                <w:color w:val="000000" w:themeColor="text1"/>
                <w:sz w:val="22"/>
                <w:szCs w:val="22"/>
              </w:rPr>
              <w:t>nitiatives</w:t>
            </w:r>
            <w:r w:rsidR="005235F3" w:rsidRPr="00EF79B8">
              <w:rPr>
                <w:rFonts w:cs="Arial"/>
                <w:color w:val="000000" w:themeColor="text1"/>
                <w:sz w:val="22"/>
                <w:szCs w:val="22"/>
              </w:rPr>
              <w:t xml:space="preserve"> should cover access to STI care</w:t>
            </w:r>
            <w:r w:rsidR="00095A7D">
              <w:rPr>
                <w:rFonts w:cs="Arial"/>
                <w:color w:val="000000" w:themeColor="text1"/>
                <w:sz w:val="22"/>
                <w:szCs w:val="22"/>
              </w:rPr>
              <w:t>,</w:t>
            </w:r>
            <w:r w:rsidR="00731639">
              <w:rPr>
                <w:rFonts w:cs="Arial"/>
                <w:color w:val="000000" w:themeColor="text1"/>
                <w:sz w:val="22"/>
                <w:szCs w:val="22"/>
              </w:rPr>
              <w:t xml:space="preserve"> </w:t>
            </w:r>
            <w:r w:rsidR="002F74B0">
              <w:rPr>
                <w:rFonts w:cs="Arial"/>
                <w:color w:val="000000" w:themeColor="text1"/>
                <w:sz w:val="22"/>
                <w:szCs w:val="22"/>
              </w:rPr>
              <w:t xml:space="preserve">including testing, </w:t>
            </w:r>
            <w:r w:rsidR="00731639" w:rsidRPr="00731639">
              <w:rPr>
                <w:rFonts w:cs="Arial"/>
                <w:color w:val="000000" w:themeColor="text1"/>
                <w:sz w:val="22"/>
                <w:szCs w:val="22"/>
              </w:rPr>
              <w:t xml:space="preserve">consistent and effective use of all </w:t>
            </w:r>
            <w:r w:rsidR="00AD7C08" w:rsidRPr="00731639">
              <w:rPr>
                <w:rFonts w:cs="Arial"/>
                <w:color w:val="000000" w:themeColor="text1"/>
                <w:sz w:val="22"/>
                <w:szCs w:val="22"/>
              </w:rPr>
              <w:t>types of</w:t>
            </w:r>
            <w:r w:rsidR="00731639" w:rsidRPr="00731639">
              <w:rPr>
                <w:rFonts w:cs="Arial"/>
                <w:color w:val="000000" w:themeColor="text1"/>
                <w:sz w:val="22"/>
                <w:szCs w:val="22"/>
              </w:rPr>
              <w:t xml:space="preserve"> </w:t>
            </w:r>
            <w:r w:rsidR="00731639">
              <w:rPr>
                <w:rFonts w:cs="Arial"/>
                <w:color w:val="000000" w:themeColor="text1"/>
                <w:sz w:val="22"/>
                <w:szCs w:val="22"/>
              </w:rPr>
              <w:t xml:space="preserve">barrier methods, </w:t>
            </w:r>
            <w:r w:rsidR="005235F3" w:rsidRPr="00EF79B8">
              <w:rPr>
                <w:rFonts w:cs="Arial"/>
                <w:color w:val="000000" w:themeColor="text1"/>
                <w:sz w:val="22"/>
                <w:szCs w:val="22"/>
              </w:rPr>
              <w:t>sexual health literacy</w:t>
            </w:r>
            <w:r w:rsidR="002F74B0">
              <w:rPr>
                <w:rFonts w:cs="Arial"/>
                <w:color w:val="000000" w:themeColor="text1"/>
                <w:sz w:val="22"/>
                <w:szCs w:val="22"/>
              </w:rPr>
              <w:t>,</w:t>
            </w:r>
            <w:r w:rsidR="005235F3" w:rsidRPr="00EF79B8">
              <w:rPr>
                <w:rFonts w:cs="Arial"/>
                <w:color w:val="000000" w:themeColor="text1"/>
                <w:sz w:val="22"/>
                <w:szCs w:val="22"/>
              </w:rPr>
              <w:t xml:space="preserve"> and have linkages with jurisdictions.</w:t>
            </w:r>
          </w:p>
        </w:tc>
      </w:tr>
      <w:tr w:rsidR="00C61224" w14:paraId="2DABD9B9" w14:textId="77777777" w:rsidTr="06DE5C08">
        <w:tc>
          <w:tcPr>
            <w:tcW w:w="983" w:type="dxa"/>
            <w:tcBorders>
              <w:right w:val="nil"/>
            </w:tcBorders>
          </w:tcPr>
          <w:p w14:paraId="084207DA" w14:textId="4F72CDA2" w:rsidR="0044513D" w:rsidRPr="00771B0D" w:rsidRDefault="002F3E68" w:rsidP="0044513D">
            <w:pPr>
              <w:pStyle w:val="BodyText"/>
              <w:spacing w:before="120"/>
              <w:jc w:val="center"/>
              <w:rPr>
                <w:rFonts w:cs="Arial"/>
                <w:b/>
                <w:bCs/>
                <w:color w:val="F7941D"/>
                <w:sz w:val="56"/>
                <w:szCs w:val="56"/>
              </w:rPr>
            </w:pPr>
            <w:r>
              <w:rPr>
                <w:rFonts w:cs="Arial"/>
                <w:b/>
                <w:bCs/>
                <w:color w:val="F7941D"/>
                <w:sz w:val="56"/>
                <w:szCs w:val="56"/>
              </w:rPr>
              <w:t>11</w:t>
            </w:r>
          </w:p>
        </w:tc>
        <w:tc>
          <w:tcPr>
            <w:tcW w:w="8629" w:type="dxa"/>
            <w:tcBorders>
              <w:left w:val="nil"/>
            </w:tcBorders>
          </w:tcPr>
          <w:p w14:paraId="6833FE33" w14:textId="33A3D0D5" w:rsidR="0044513D" w:rsidRPr="00FD4DBE" w:rsidRDefault="0044513D" w:rsidP="0044513D">
            <w:pPr>
              <w:pStyle w:val="BodyText"/>
              <w:spacing w:before="120"/>
              <w:rPr>
                <w:rFonts w:cs="Arial"/>
                <w:color w:val="000000" w:themeColor="text1"/>
                <w:sz w:val="22"/>
                <w:szCs w:val="22"/>
              </w:rPr>
            </w:pPr>
            <w:r w:rsidRPr="00FD4DBE">
              <w:rPr>
                <w:rFonts w:cs="Arial"/>
                <w:color w:val="000000" w:themeColor="text1"/>
                <w:sz w:val="22"/>
                <w:szCs w:val="22"/>
              </w:rPr>
              <w:t xml:space="preserve">Build the capacity of the education workforce to facilitate knowledge and awareness of STI by embedding </w:t>
            </w:r>
            <w:r w:rsidR="00CB0B29">
              <w:rPr>
                <w:rFonts w:cs="Arial"/>
                <w:color w:val="000000" w:themeColor="text1"/>
                <w:sz w:val="22"/>
                <w:szCs w:val="22"/>
              </w:rPr>
              <w:t>education</w:t>
            </w:r>
            <w:r w:rsidR="00CB0B29" w:rsidRPr="00FD4DBE">
              <w:rPr>
                <w:rFonts w:cs="Arial"/>
                <w:color w:val="000000" w:themeColor="text1"/>
                <w:sz w:val="22"/>
                <w:szCs w:val="22"/>
              </w:rPr>
              <w:t xml:space="preserve"> </w:t>
            </w:r>
            <w:r w:rsidRPr="00FD4DBE">
              <w:rPr>
                <w:rFonts w:cs="Arial"/>
                <w:color w:val="000000" w:themeColor="text1"/>
                <w:sz w:val="22"/>
                <w:szCs w:val="22"/>
              </w:rPr>
              <w:t>that is inclusive and stigma-free within pre-service training for educators and teacher development processes at the primary, secondary and tertiary levels</w:t>
            </w:r>
            <w:r w:rsidR="00DE63A8">
              <w:rPr>
                <w:rFonts w:cs="Arial"/>
                <w:color w:val="000000" w:themeColor="text1"/>
                <w:sz w:val="22"/>
                <w:szCs w:val="22"/>
              </w:rPr>
              <w:t xml:space="preserve"> </w:t>
            </w:r>
            <w:r w:rsidRPr="00FD4DBE">
              <w:rPr>
                <w:rFonts w:cs="Arial"/>
                <w:color w:val="000000" w:themeColor="text1"/>
                <w:sz w:val="22"/>
                <w:szCs w:val="22"/>
              </w:rPr>
              <w:t>(such as</w:t>
            </w:r>
            <w:r w:rsidR="00DE63A8">
              <w:rPr>
                <w:rFonts w:cs="Arial"/>
                <w:color w:val="000000" w:themeColor="text1"/>
                <w:sz w:val="22"/>
                <w:szCs w:val="22"/>
              </w:rPr>
              <w:t xml:space="preserve"> university,</w:t>
            </w:r>
            <w:r w:rsidRPr="00FD4DBE">
              <w:rPr>
                <w:rFonts w:cs="Arial"/>
                <w:color w:val="000000" w:themeColor="text1"/>
                <w:sz w:val="22"/>
                <w:szCs w:val="22"/>
              </w:rPr>
              <w:t xml:space="preserve"> TAFE and international colleges). </w:t>
            </w:r>
          </w:p>
        </w:tc>
      </w:tr>
      <w:tr w:rsidR="00C61224" w14:paraId="5960CB39" w14:textId="77777777" w:rsidTr="06DE5C08">
        <w:tc>
          <w:tcPr>
            <w:tcW w:w="983" w:type="dxa"/>
            <w:tcBorders>
              <w:right w:val="nil"/>
            </w:tcBorders>
          </w:tcPr>
          <w:p w14:paraId="34CC56F7" w14:textId="476F88EF" w:rsidR="0044513D" w:rsidRPr="00771B0D" w:rsidRDefault="00144798" w:rsidP="0044513D">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2</w:t>
            </w:r>
          </w:p>
        </w:tc>
        <w:tc>
          <w:tcPr>
            <w:tcW w:w="8629" w:type="dxa"/>
            <w:tcBorders>
              <w:left w:val="nil"/>
            </w:tcBorders>
          </w:tcPr>
          <w:p w14:paraId="1E310385" w14:textId="348217F7" w:rsidR="0044513D" w:rsidRPr="00FD4DBE" w:rsidRDefault="004522EC" w:rsidP="0044513D">
            <w:pPr>
              <w:pStyle w:val="BodyText"/>
              <w:spacing w:before="120"/>
              <w:rPr>
                <w:rFonts w:cs="Arial"/>
                <w:color w:val="000000" w:themeColor="text1"/>
                <w:sz w:val="22"/>
                <w:szCs w:val="22"/>
              </w:rPr>
            </w:pPr>
            <w:r w:rsidRPr="00442D9E">
              <w:rPr>
                <w:rFonts w:cs="Arial"/>
                <w:color w:val="000000" w:themeColor="text1"/>
                <w:sz w:val="22"/>
                <w:szCs w:val="22"/>
              </w:rPr>
              <w:t xml:space="preserve">Coordinate and provide governance of cross-sectoral prevention and education policy and programs (for example, family and domestic violence, respectful relationships, </w:t>
            </w:r>
            <w:r>
              <w:rPr>
                <w:rFonts w:cs="Arial"/>
                <w:color w:val="000000" w:themeColor="text1"/>
                <w:sz w:val="22"/>
                <w:szCs w:val="22"/>
              </w:rPr>
              <w:t xml:space="preserve">child sex abuse, </w:t>
            </w:r>
            <w:r w:rsidRPr="00442D9E">
              <w:rPr>
                <w:rFonts w:cs="Arial"/>
                <w:color w:val="000000" w:themeColor="text1"/>
                <w:sz w:val="22"/>
                <w:szCs w:val="22"/>
              </w:rPr>
              <w:t xml:space="preserve">consent education and gender violence) to ensure a </w:t>
            </w:r>
            <w:r w:rsidR="00FC3299">
              <w:rPr>
                <w:rFonts w:cs="Arial"/>
                <w:color w:val="000000" w:themeColor="text1"/>
                <w:sz w:val="22"/>
                <w:szCs w:val="22"/>
              </w:rPr>
              <w:t>unified,</w:t>
            </w:r>
            <w:r w:rsidRPr="00442D9E">
              <w:rPr>
                <w:rFonts w:cs="Arial"/>
                <w:color w:val="000000" w:themeColor="text1"/>
                <w:sz w:val="22"/>
                <w:szCs w:val="22"/>
              </w:rPr>
              <w:t xml:space="preserve"> comprehensive and best practice approach</w:t>
            </w:r>
            <w:r w:rsidR="00855C31" w:rsidRPr="00FD4DBE">
              <w:rPr>
                <w:rFonts w:cs="Arial"/>
                <w:color w:val="000000" w:themeColor="text1"/>
                <w:sz w:val="22"/>
                <w:szCs w:val="22"/>
              </w:rPr>
              <w:t>.</w:t>
            </w:r>
          </w:p>
        </w:tc>
      </w:tr>
      <w:tr w:rsidR="00C61224" w14:paraId="0B1DFA46" w14:textId="77777777" w:rsidTr="06DE5C08">
        <w:tc>
          <w:tcPr>
            <w:tcW w:w="983" w:type="dxa"/>
            <w:tcBorders>
              <w:right w:val="nil"/>
            </w:tcBorders>
          </w:tcPr>
          <w:p w14:paraId="6816AE12" w14:textId="39E1253B" w:rsidR="0044513D" w:rsidRPr="00771B0D" w:rsidRDefault="00144798" w:rsidP="0044513D">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3</w:t>
            </w:r>
          </w:p>
        </w:tc>
        <w:tc>
          <w:tcPr>
            <w:tcW w:w="8629" w:type="dxa"/>
            <w:tcBorders>
              <w:left w:val="nil"/>
            </w:tcBorders>
          </w:tcPr>
          <w:p w14:paraId="4920D1D0" w14:textId="0D5E257F" w:rsidR="0044513D" w:rsidRPr="00ED0E53" w:rsidRDefault="001C79F8" w:rsidP="0044513D">
            <w:pPr>
              <w:pStyle w:val="BodyText"/>
              <w:spacing w:before="120"/>
              <w:rPr>
                <w:rFonts w:cs="Arial"/>
                <w:sz w:val="22"/>
                <w:szCs w:val="22"/>
              </w:rPr>
            </w:pPr>
            <w:r w:rsidRPr="00ED0E53">
              <w:rPr>
                <w:rFonts w:cs="Arial"/>
                <w:sz w:val="22"/>
                <w:szCs w:val="22"/>
              </w:rPr>
              <w:t xml:space="preserve">Promote advocacy and empower priority populations to access STI prevention, treatment, care, and support across community, education, workplace, and legal settings. </w:t>
            </w:r>
          </w:p>
        </w:tc>
      </w:tr>
      <w:tr w:rsidR="00147B4D" w14:paraId="3852DD43" w14:textId="77777777" w:rsidTr="06DE5C08">
        <w:tc>
          <w:tcPr>
            <w:tcW w:w="983" w:type="dxa"/>
            <w:tcBorders>
              <w:right w:val="nil"/>
            </w:tcBorders>
          </w:tcPr>
          <w:p w14:paraId="3032F35F" w14:textId="12E3E75E" w:rsidR="00147B4D" w:rsidRDefault="00147B4D" w:rsidP="00147B4D">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4</w:t>
            </w:r>
          </w:p>
        </w:tc>
        <w:tc>
          <w:tcPr>
            <w:tcW w:w="8629" w:type="dxa"/>
            <w:tcBorders>
              <w:left w:val="nil"/>
            </w:tcBorders>
          </w:tcPr>
          <w:p w14:paraId="2DAF4766" w14:textId="38CDF41C" w:rsidR="00147B4D" w:rsidRPr="000574E5" w:rsidRDefault="00147B4D" w:rsidP="00147B4D">
            <w:pPr>
              <w:pStyle w:val="BodyText"/>
              <w:spacing w:before="120"/>
              <w:rPr>
                <w:rFonts w:cs="Arial"/>
                <w:sz w:val="22"/>
                <w:szCs w:val="22"/>
              </w:rPr>
            </w:pPr>
            <w:r>
              <w:rPr>
                <w:rFonts w:cs="Arial"/>
                <w:color w:val="000000" w:themeColor="text1"/>
                <w:sz w:val="22"/>
                <w:szCs w:val="22"/>
              </w:rPr>
              <w:t xml:space="preserve">Establish a National Advisory Group for </w:t>
            </w:r>
            <w:r w:rsidR="00C4202A">
              <w:rPr>
                <w:rFonts w:cs="Arial"/>
                <w:color w:val="000000" w:themeColor="text1"/>
                <w:sz w:val="22"/>
                <w:szCs w:val="22"/>
              </w:rPr>
              <w:t>curriculum-based</w:t>
            </w:r>
            <w:r>
              <w:rPr>
                <w:rFonts w:cs="Arial"/>
                <w:color w:val="000000" w:themeColor="text1"/>
                <w:sz w:val="22"/>
                <w:szCs w:val="22"/>
              </w:rPr>
              <w:t xml:space="preserve"> relationship and sexuality education (RSE) that can provide governance of best practice principles and support materials for schools and alternative education settings to deliver comprehensive RSE in line with state and national curricula. </w:t>
            </w:r>
          </w:p>
        </w:tc>
      </w:tr>
    </w:tbl>
    <w:p w14:paraId="6EEB382A" w14:textId="77777777" w:rsidR="005235F3" w:rsidRPr="00442D9E" w:rsidRDefault="005235F3" w:rsidP="00522C41">
      <w:pPr>
        <w:pStyle w:val="BodyText"/>
        <w:spacing w:after="0"/>
        <w:jc w:val="both"/>
        <w:rPr>
          <w:rFonts w:cs="Arial"/>
          <w:color w:val="000000" w:themeColor="text1"/>
          <w:sz w:val="22"/>
          <w:szCs w:val="22"/>
        </w:rPr>
      </w:pPr>
    </w:p>
    <w:p w14:paraId="558834B0" w14:textId="77777777" w:rsidR="005223BD" w:rsidRPr="00442D9E" w:rsidRDefault="005223BD" w:rsidP="00522C41">
      <w:pPr>
        <w:pStyle w:val="BodyText"/>
        <w:spacing w:after="0"/>
        <w:jc w:val="both"/>
        <w:rPr>
          <w:rFonts w:cs="Arial"/>
          <w:color w:val="000000" w:themeColor="text1"/>
          <w:sz w:val="22"/>
          <w:szCs w:val="22"/>
        </w:rPr>
      </w:pPr>
    </w:p>
    <w:p w14:paraId="7542F8B5" w14:textId="5898300F" w:rsidR="004E2A75" w:rsidRDefault="2A18D9C9" w:rsidP="00ED0E53">
      <w:pPr>
        <w:rPr>
          <w:rFonts w:cs="Arial"/>
          <w:szCs w:val="22"/>
        </w:rPr>
      </w:pPr>
      <w:bookmarkStart w:id="100" w:name="_Hlk145594965"/>
      <w:r w:rsidRPr="00442D9E">
        <w:rPr>
          <w:rFonts w:cs="Arial"/>
          <w:sz w:val="22"/>
          <w:szCs w:val="22"/>
        </w:rPr>
        <w:t xml:space="preserve">Outcomes expected from this priority area </w:t>
      </w:r>
      <w:r w:rsidR="0ECE28C2" w:rsidRPr="00442D9E">
        <w:rPr>
          <w:rFonts w:cs="Arial"/>
          <w:sz w:val="22"/>
          <w:szCs w:val="22"/>
        </w:rPr>
        <w:t>include</w:t>
      </w:r>
      <w:r w:rsidRPr="00442D9E">
        <w:rPr>
          <w:rFonts w:cs="Arial"/>
          <w:sz w:val="22"/>
          <w:szCs w:val="22"/>
        </w:rPr>
        <w:t xml:space="preserve"> normalisation of awareness of STI, enhancing values and attitudes around risks, rights and responsibilities</w:t>
      </w:r>
      <w:r w:rsidR="0034699B">
        <w:rPr>
          <w:rFonts w:cs="Arial"/>
          <w:sz w:val="22"/>
          <w:szCs w:val="22"/>
        </w:rPr>
        <w:t>,</w:t>
      </w:r>
      <w:r w:rsidRPr="00442D9E">
        <w:rPr>
          <w:rFonts w:cs="Arial"/>
          <w:sz w:val="22"/>
          <w:szCs w:val="22"/>
        </w:rPr>
        <w:t xml:space="preserve"> and tailored prevention and education led by and designed for priority populations</w:t>
      </w:r>
      <w:r w:rsidR="004D3077">
        <w:rPr>
          <w:rFonts w:cs="Arial"/>
          <w:sz w:val="22"/>
          <w:szCs w:val="22"/>
        </w:rPr>
        <w:t>.</w:t>
      </w:r>
      <w:r w:rsidRPr="00442D9E">
        <w:rPr>
          <w:rFonts w:cs="Arial"/>
          <w:sz w:val="22"/>
          <w:szCs w:val="22"/>
        </w:rPr>
        <w:t xml:space="preserve"> </w:t>
      </w:r>
      <w:r w:rsidR="004D3077">
        <w:rPr>
          <w:rFonts w:cs="Arial"/>
          <w:sz w:val="22"/>
          <w:szCs w:val="22"/>
        </w:rPr>
        <w:t>This</w:t>
      </w:r>
      <w:r w:rsidRPr="00442D9E">
        <w:rPr>
          <w:rFonts w:cs="Arial"/>
          <w:sz w:val="22"/>
          <w:szCs w:val="22"/>
        </w:rPr>
        <w:t xml:space="preserve"> enabl</w:t>
      </w:r>
      <w:r w:rsidR="004D3077">
        <w:rPr>
          <w:rFonts w:cs="Arial"/>
          <w:sz w:val="22"/>
          <w:szCs w:val="22"/>
        </w:rPr>
        <w:t>es</w:t>
      </w:r>
      <w:r w:rsidRPr="00442D9E">
        <w:rPr>
          <w:rFonts w:cs="Arial"/>
          <w:sz w:val="22"/>
          <w:szCs w:val="22"/>
        </w:rPr>
        <w:t xml:space="preserve"> the achievement </w:t>
      </w:r>
      <w:r w:rsidRPr="004E7A51">
        <w:rPr>
          <w:rFonts w:cs="Arial"/>
          <w:sz w:val="22"/>
          <w:szCs w:val="22"/>
        </w:rPr>
        <w:t xml:space="preserve">of Goal </w:t>
      </w:r>
      <w:r w:rsidR="159B795A" w:rsidRPr="004E7A51">
        <w:rPr>
          <w:rFonts w:cs="Arial"/>
          <w:sz w:val="22"/>
          <w:szCs w:val="22"/>
        </w:rPr>
        <w:t xml:space="preserve">3 </w:t>
      </w:r>
      <w:r w:rsidRPr="004E7A51">
        <w:rPr>
          <w:rFonts w:cs="Arial"/>
          <w:sz w:val="22"/>
          <w:szCs w:val="22"/>
        </w:rPr>
        <w:t>(</w:t>
      </w:r>
      <w:r w:rsidR="56EC8690" w:rsidRPr="004E7A51">
        <w:rPr>
          <w:rFonts w:cs="Arial"/>
          <w:sz w:val="22"/>
          <w:szCs w:val="22"/>
        </w:rPr>
        <w:t>increased</w:t>
      </w:r>
      <w:r w:rsidRPr="004E7A51">
        <w:rPr>
          <w:rFonts w:cs="Arial"/>
          <w:sz w:val="22"/>
          <w:szCs w:val="22"/>
        </w:rPr>
        <w:t xml:space="preserve"> awareness and understanding of STI as part of sexual and reproductive health for all in</w:t>
      </w:r>
      <w:r w:rsidRPr="00442D9E">
        <w:rPr>
          <w:rFonts w:cs="Arial"/>
          <w:sz w:val="22"/>
          <w:szCs w:val="22"/>
        </w:rPr>
        <w:t xml:space="preserve"> Australia) of this </w:t>
      </w:r>
      <w:r w:rsidR="004D3077">
        <w:rPr>
          <w:rFonts w:cs="Arial"/>
          <w:sz w:val="22"/>
          <w:szCs w:val="22"/>
        </w:rPr>
        <w:t>S</w:t>
      </w:r>
      <w:r w:rsidRPr="00442D9E">
        <w:rPr>
          <w:rFonts w:cs="Arial"/>
          <w:sz w:val="22"/>
          <w:szCs w:val="22"/>
        </w:rPr>
        <w:t xml:space="preserve">trategy. </w:t>
      </w:r>
    </w:p>
    <w:p w14:paraId="79A70480" w14:textId="77777777" w:rsidR="00F61394" w:rsidRDefault="00F61394" w:rsidP="00A60E43">
      <w:pPr>
        <w:rPr>
          <w:rFonts w:cs="Arial"/>
          <w:sz w:val="22"/>
          <w:szCs w:val="22"/>
        </w:rPr>
      </w:pPr>
    </w:p>
    <w:p w14:paraId="42B36EE5" w14:textId="77777777" w:rsidR="00F61394" w:rsidRDefault="00F61394" w:rsidP="00A60E43">
      <w:pPr>
        <w:rPr>
          <w:rFonts w:cs="Arial"/>
          <w:sz w:val="22"/>
          <w:szCs w:val="22"/>
        </w:rPr>
      </w:pPr>
    </w:p>
    <w:p w14:paraId="3A5CEFBD" w14:textId="087727CA" w:rsidR="00031E79" w:rsidRPr="00AD78EE" w:rsidRDefault="00E94C86" w:rsidP="00515EF6">
      <w:pPr>
        <w:pStyle w:val="Heading2"/>
        <w:numPr>
          <w:ilvl w:val="1"/>
          <w:numId w:val="7"/>
        </w:numPr>
        <w:rPr>
          <w:rFonts w:ascii="Arial" w:hAnsi="Arial" w:cs="Arial"/>
        </w:rPr>
      </w:pPr>
      <w:bookmarkStart w:id="101" w:name="_Toc146813404"/>
      <w:bookmarkStart w:id="102" w:name="_Toc150160966"/>
      <w:bookmarkStart w:id="103" w:name="_Toc163737192"/>
      <w:bookmarkStart w:id="104" w:name="_Toc138151609"/>
      <w:bookmarkStart w:id="105" w:name="_Toc138173818"/>
      <w:bookmarkEnd w:id="100"/>
      <w:r w:rsidRPr="00AD78EE">
        <w:rPr>
          <w:rFonts w:cs="Arial"/>
          <w:noProof/>
        </w:rPr>
        <w:drawing>
          <wp:anchor distT="0" distB="0" distL="36195" distR="36195" simplePos="0" relativeHeight="251657266" behindDoc="1" locked="1" layoutInCell="1" allowOverlap="0" wp14:anchorId="0A73FE7C" wp14:editId="46DE3F50">
            <wp:simplePos x="0" y="0"/>
            <wp:positionH relativeFrom="margin">
              <wp:posOffset>-80010</wp:posOffset>
            </wp:positionH>
            <wp:positionV relativeFrom="paragraph">
              <wp:posOffset>-122555</wp:posOffset>
            </wp:positionV>
            <wp:extent cx="216000" cy="316800"/>
            <wp:effectExtent l="0" t="0" r="0" b="7620"/>
            <wp:wrapTight wrapText="bothSides">
              <wp:wrapPolygon edited="0">
                <wp:start x="9529" y="0"/>
                <wp:lineTo x="0" y="15614"/>
                <wp:lineTo x="0" y="20819"/>
                <wp:lineTo x="19059" y="20819"/>
                <wp:lineTo x="19059" y="0"/>
                <wp:lineTo x="9529" y="0"/>
              </wp:wrapPolygon>
            </wp:wrapTight>
            <wp:docPr id="1086173691" name="Graphic 1086173691" descr="P87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73691" name="Graphic 1086173691" descr="P872#y1">
                      <a:extLst>
                        <a:ext uri="{C183D7F6-B498-43B3-948B-1728B52AA6E4}">
                          <adec:decorative xmlns:adec="http://schemas.microsoft.com/office/drawing/2017/decorative" val="1"/>
                        </a:ext>
                      </a:extLst>
                    </pic:cNvPr>
                    <pic:cNvPicPr/>
                  </pic:nvPicPr>
                  <pic:blipFill rotWithShape="1">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rcRect l="18408" t="4606" r="19486" b="4446"/>
                    <a:stretch/>
                  </pic:blipFill>
                  <pic:spPr bwMode="auto">
                    <a:xfrm>
                      <a:off x="0" y="0"/>
                      <a:ext cx="2160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E79" w:rsidRPr="00AD78EE">
        <w:rPr>
          <w:rFonts w:ascii="Arial" w:hAnsi="Arial" w:cs="Arial"/>
        </w:rPr>
        <w:t>Prevention, testing and treatment</w:t>
      </w:r>
      <w:bookmarkEnd w:id="101"/>
      <w:bookmarkEnd w:id="102"/>
      <w:bookmarkEnd w:id="103"/>
      <w:r w:rsidR="00031E79" w:rsidRPr="00AD78EE">
        <w:rPr>
          <w:rFonts w:ascii="Arial" w:hAnsi="Arial" w:cs="Arial"/>
        </w:rPr>
        <w:t xml:space="preserve">  </w:t>
      </w:r>
      <w:bookmarkEnd w:id="104"/>
      <w:bookmarkEnd w:id="105"/>
    </w:p>
    <w:p w14:paraId="1B81EC5C" w14:textId="76B163F8" w:rsidR="00031E79" w:rsidRPr="00442D9E" w:rsidRDefault="00031E79" w:rsidP="00522C41">
      <w:pPr>
        <w:jc w:val="both"/>
        <w:rPr>
          <w:rFonts w:cs="Arial"/>
          <w:color w:val="000000" w:themeColor="text1"/>
          <w:sz w:val="22"/>
          <w:szCs w:val="22"/>
        </w:rPr>
      </w:pPr>
    </w:p>
    <w:p w14:paraId="1ABC724B" w14:textId="6823057E" w:rsidR="0046308A" w:rsidRPr="00ED0E53" w:rsidRDefault="0046308A" w:rsidP="00ED0E53">
      <w:pPr>
        <w:jc w:val="both"/>
        <w:rPr>
          <w:rFonts w:cs="Arial"/>
          <w:color w:val="000000" w:themeColor="text1"/>
          <w:szCs w:val="22"/>
        </w:rPr>
      </w:pPr>
      <w:r w:rsidRPr="00ED0E53">
        <w:rPr>
          <w:rFonts w:cs="Arial"/>
          <w:color w:val="000000" w:themeColor="text1"/>
          <w:sz w:val="22"/>
          <w:szCs w:val="22"/>
        </w:rPr>
        <w:t xml:space="preserve">To decrease morbidity and complications from STI in Australia, it is imperative that everyone has access to timely, stigma-free, and high-quality STI and sexual health services. Guidelines should be revised to recommend appropriate testing frequencies for specific populations. Local epidemiological data and expertise should inform testing frequency decisions to reduce morbidity in these populations. </w:t>
      </w:r>
      <w:r w:rsidR="006706BA" w:rsidRPr="00ED0E53">
        <w:rPr>
          <w:rFonts w:cs="Arial"/>
          <w:color w:val="000000" w:themeColor="text1"/>
          <w:sz w:val="22"/>
          <w:szCs w:val="22"/>
        </w:rPr>
        <w:t>Bolstered</w:t>
      </w:r>
      <w:r w:rsidRPr="00ED0E53">
        <w:rPr>
          <w:rFonts w:cs="Arial"/>
          <w:color w:val="000000" w:themeColor="text1"/>
          <w:sz w:val="22"/>
          <w:szCs w:val="22"/>
        </w:rPr>
        <w:t xml:space="preserve"> primary, secondary, and tertiary prevention efforts are </w:t>
      </w:r>
      <w:r w:rsidR="006706BA" w:rsidRPr="00ED0E53">
        <w:rPr>
          <w:rFonts w:cs="Arial"/>
          <w:color w:val="000000" w:themeColor="text1"/>
          <w:sz w:val="22"/>
          <w:szCs w:val="22"/>
        </w:rPr>
        <w:t xml:space="preserve">also </w:t>
      </w:r>
      <w:r w:rsidRPr="00ED0E53">
        <w:rPr>
          <w:rFonts w:cs="Arial"/>
          <w:color w:val="000000" w:themeColor="text1"/>
          <w:sz w:val="22"/>
          <w:szCs w:val="22"/>
        </w:rPr>
        <w:t>essential to achieving this objective.</w:t>
      </w:r>
    </w:p>
    <w:p w14:paraId="60B9184C" w14:textId="77777777" w:rsidR="00CB0177" w:rsidRDefault="00CB0177" w:rsidP="00EB49D8">
      <w:pPr>
        <w:pStyle w:val="PlainText"/>
      </w:pPr>
    </w:p>
    <w:p w14:paraId="59EB2EF1" w14:textId="381FFB4F" w:rsidR="00CB0177" w:rsidRPr="00CB0177" w:rsidRDefault="00CB0177" w:rsidP="00CB0177">
      <w:pPr>
        <w:jc w:val="both"/>
        <w:rPr>
          <w:rFonts w:cs="Arial"/>
          <w:color w:val="000000" w:themeColor="text1"/>
          <w:sz w:val="22"/>
          <w:szCs w:val="22"/>
        </w:rPr>
      </w:pPr>
      <w:r w:rsidRPr="00442D9E">
        <w:rPr>
          <w:rFonts w:cs="Arial"/>
          <w:color w:val="000000" w:themeColor="text1"/>
          <w:sz w:val="22"/>
          <w:szCs w:val="22"/>
        </w:rPr>
        <w:t>Ensuring access to timely, inclusive</w:t>
      </w:r>
      <w:r>
        <w:rPr>
          <w:rFonts w:cs="Arial"/>
          <w:color w:val="000000" w:themeColor="text1"/>
          <w:sz w:val="22"/>
          <w:szCs w:val="22"/>
        </w:rPr>
        <w:t>,</w:t>
      </w:r>
      <w:r w:rsidRPr="00442D9E">
        <w:rPr>
          <w:rFonts w:cs="Arial"/>
          <w:color w:val="000000" w:themeColor="text1"/>
          <w:sz w:val="22"/>
          <w:szCs w:val="22"/>
        </w:rPr>
        <w:t xml:space="preserve"> and stigma-free and quality sexual health services for all is also imperative for strengthening secondary and tertiary prevention. Culturally safe healthcare services free from stigma and racism must be accessible to all. Online services can help expand timely access to STI testing and other healthcare services.</w:t>
      </w:r>
    </w:p>
    <w:p w14:paraId="00657F61" w14:textId="77777777" w:rsidR="00031E79" w:rsidRPr="00442D9E" w:rsidRDefault="00031E79" w:rsidP="00522C41">
      <w:pPr>
        <w:jc w:val="both"/>
        <w:rPr>
          <w:rFonts w:cs="Arial"/>
          <w:color w:val="000000" w:themeColor="text1"/>
          <w:sz w:val="22"/>
          <w:szCs w:val="22"/>
        </w:rPr>
      </w:pPr>
    </w:p>
    <w:p w14:paraId="50D46A6E" w14:textId="7E509B38"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When managed appropriately for a person’s unique situation, safe sex (including the use of condoms and other barrier methods) offers one of the most effective methods of protection against STI. Trends in condom use and condomless sex are of concern. Consistent condom use with casual partners has been declining over the past five years among gay, bisexual and other men who have sex with men.</w:t>
      </w:r>
      <w:r w:rsidR="008B43F1">
        <w:rPr>
          <w:rFonts w:ascii="ZWAdobeF" w:hAnsi="ZWAdobeF" w:cs="ZWAdobeF"/>
          <w:sz w:val="2"/>
          <w:szCs w:val="2"/>
        </w:rPr>
        <w:t>114F</w:t>
      </w:r>
      <w:r w:rsidRPr="00442D9E">
        <w:rPr>
          <w:rStyle w:val="EndnoteReference"/>
          <w:rFonts w:cs="Arial"/>
          <w:color w:val="000000" w:themeColor="text1"/>
          <w:sz w:val="22"/>
          <w:szCs w:val="22"/>
        </w:rPr>
        <w:endnoteReference w:id="114"/>
      </w:r>
      <w:r w:rsidRPr="00442D9E" w:rsidDel="008D534F">
        <w:rPr>
          <w:rFonts w:cs="Arial"/>
          <w:color w:val="000000" w:themeColor="text1"/>
          <w:sz w:val="22"/>
          <w:szCs w:val="22"/>
        </w:rPr>
        <w:t xml:space="preserve"> </w:t>
      </w:r>
      <w:r w:rsidRPr="00442D9E">
        <w:rPr>
          <w:rFonts w:cs="Arial"/>
          <w:color w:val="000000" w:themeColor="text1"/>
          <w:sz w:val="22"/>
          <w:szCs w:val="22"/>
        </w:rPr>
        <w:t xml:space="preserve">While research on condom use among sex workers in Australia has shown sustained high </w:t>
      </w:r>
      <w:r w:rsidRPr="00442D9E">
        <w:rPr>
          <w:rFonts w:cs="Arial"/>
          <w:color w:val="000000" w:themeColor="text1"/>
          <w:sz w:val="22"/>
          <w:szCs w:val="22"/>
        </w:rPr>
        <w:lastRenderedPageBreak/>
        <w:t>rates of consistent condom use</w:t>
      </w:r>
      <w:r w:rsidR="002F4BB5">
        <w:rPr>
          <w:rFonts w:cs="Arial"/>
          <w:color w:val="000000" w:themeColor="text1"/>
          <w:sz w:val="22"/>
          <w:szCs w:val="22"/>
        </w:rPr>
        <w:t>,</w:t>
      </w:r>
      <w:r w:rsidRPr="00442D9E">
        <w:rPr>
          <w:rFonts w:cs="Arial"/>
          <w:color w:val="000000" w:themeColor="text1"/>
          <w:sz w:val="22"/>
          <w:szCs w:val="22"/>
        </w:rPr>
        <w:fldChar w:fldCharType="begin"/>
      </w:r>
      <w:r w:rsidRPr="00442D9E">
        <w:rPr>
          <w:rFonts w:cs="Arial"/>
          <w:color w:val="000000" w:themeColor="text1"/>
          <w:sz w:val="22"/>
          <w:szCs w:val="22"/>
        </w:rPr>
        <w:instrText xml:space="preserve"> ADDIN ZOTERO_ITEM CSL_CITATION {"citationID":"CnzuGgIE","properties":{"formattedCitation":"\\super 36\\nosupersub{}","plainCitation":"36","noteIndex":0},"citationItems":[{"id":1347,"uris":["http://zotero.org/groups/4457130/items/QKF7JQEY"],"itemData":{"id":1347,"type":"article-journal","container-title":"Sexual health","ISSN":"1449-8987","issue":"1","journalAbbreviation":"Sexual health","note":"publisher: CSIRO Publishing","page":"53-60","title":"Sexual practices of female sex workers in Melbourne, Australia: an anonymous cross-sectional questionnaire study in 2017–18","volume":"17","author":[{"family":"Zappulla","given":"Annalisa"},{"family":"Fairley","given":"Christopher K"},{"family":"Donovan","given":"Basil"},{"family":"Guy","given":"Rebecca"},{"family":"Bradshaw","given":"Catriona S"},{"family":"Chen","given":"Marcus Y"},{"family":"Phillips","given":"Tiffany R"},{"family":"Maddaford","given":"Kate"},{"family":"Chow","given":"Eric PF"}],"issued":{"date-parts":[["2020"]]}}}],"schema":"https://github.com/citation-style-language/schema/raw/master/csl-citation.json"} </w:instrText>
      </w:r>
      <w:r w:rsidRPr="00442D9E">
        <w:rPr>
          <w:rFonts w:cs="Arial"/>
          <w:color w:val="000000" w:themeColor="text1"/>
          <w:sz w:val="22"/>
          <w:szCs w:val="22"/>
        </w:rPr>
        <w:fldChar w:fldCharType="separate"/>
      </w:r>
      <w:r w:rsidRPr="00442D9E">
        <w:rPr>
          <w:rFonts w:cs="Arial"/>
          <w:color w:val="000000" w:themeColor="text1"/>
          <w:sz w:val="22"/>
          <w:szCs w:val="22"/>
          <w:vertAlign w:val="superscript"/>
        </w:rPr>
        <w:t>36</w:t>
      </w:r>
      <w:r w:rsidRPr="00442D9E">
        <w:rPr>
          <w:rFonts w:cs="Arial"/>
          <w:color w:val="000000" w:themeColor="text1"/>
          <w:sz w:val="22"/>
          <w:szCs w:val="22"/>
        </w:rPr>
        <w:fldChar w:fldCharType="end"/>
      </w:r>
      <w:r w:rsidRPr="00442D9E">
        <w:rPr>
          <w:rFonts w:cs="Arial"/>
          <w:color w:val="000000" w:themeColor="text1"/>
          <w:sz w:val="22"/>
          <w:szCs w:val="22"/>
        </w:rPr>
        <w:t xml:space="preserve"> there are some issues concerning condomless oral sex, which emphasise the need for targeted peer-led health promotion and harm reduction initiatives in this area.</w:t>
      </w:r>
    </w:p>
    <w:p w14:paraId="0003CEAA" w14:textId="77777777" w:rsidR="00031E79" w:rsidRPr="00442D9E" w:rsidRDefault="00031E79" w:rsidP="00522C41">
      <w:pPr>
        <w:pStyle w:val="BodyText"/>
        <w:spacing w:after="0"/>
        <w:jc w:val="both"/>
        <w:rPr>
          <w:rFonts w:cs="Arial"/>
          <w:color w:val="000000" w:themeColor="text1"/>
          <w:sz w:val="22"/>
          <w:szCs w:val="22"/>
        </w:rPr>
      </w:pPr>
    </w:p>
    <w:p w14:paraId="2D1C034F" w14:textId="759FBAC6"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HPV vaccination is delivered to adolescents as part of the high school-based immunisation program conducted by states and territories. A recent study showed that the program is generating herd immunity for certain types of HPV in Australia.</w:t>
      </w:r>
      <w:r w:rsidR="008B43F1">
        <w:rPr>
          <w:rFonts w:ascii="ZWAdobeF" w:hAnsi="ZWAdobeF" w:cs="ZWAdobeF"/>
          <w:sz w:val="2"/>
          <w:szCs w:val="2"/>
        </w:rPr>
        <w:t>115F</w:t>
      </w:r>
      <w:r w:rsidRPr="00442D9E">
        <w:rPr>
          <w:rStyle w:val="EndnoteReference"/>
          <w:rFonts w:cs="Arial"/>
          <w:color w:val="000000" w:themeColor="text1"/>
          <w:sz w:val="22"/>
          <w:szCs w:val="22"/>
        </w:rPr>
        <w:endnoteReference w:id="115"/>
      </w:r>
      <w:r w:rsidRPr="00442D9E">
        <w:rPr>
          <w:rFonts w:cs="Arial"/>
          <w:color w:val="000000" w:themeColor="text1"/>
          <w:sz w:val="22"/>
          <w:szCs w:val="22"/>
        </w:rPr>
        <w:t xml:space="preserve"> Vaccines available on the National Immunisation Program protect against nine types of HPV, including seven types associated with causing over 90% of cervical cancers in Australia. Sustained efforts are needed to continue to improve adolescent vaccination, particularly in males, to meet the target of 90% coverage by 2030.</w:t>
      </w:r>
      <w:r w:rsidR="008B43F1">
        <w:rPr>
          <w:rFonts w:ascii="ZWAdobeF" w:hAnsi="ZWAdobeF" w:cs="ZWAdobeF"/>
          <w:sz w:val="2"/>
          <w:szCs w:val="2"/>
        </w:rPr>
        <w:t>116F</w:t>
      </w:r>
      <w:r w:rsidRPr="00442D9E">
        <w:rPr>
          <w:rStyle w:val="EndnoteReference"/>
          <w:rFonts w:cs="Arial"/>
          <w:color w:val="000000" w:themeColor="text1"/>
          <w:sz w:val="22"/>
          <w:szCs w:val="22"/>
        </w:rPr>
        <w:endnoteReference w:id="116"/>
      </w:r>
      <w:r w:rsidRPr="00442D9E">
        <w:rPr>
          <w:rFonts w:cs="Arial"/>
          <w:color w:val="000000" w:themeColor="text1"/>
          <w:sz w:val="22"/>
          <w:szCs w:val="22"/>
        </w:rPr>
        <w:t xml:space="preserve"> The HPV vaccination is also recommended for men who have sex with men</w:t>
      </w:r>
      <w:r w:rsidR="00AB1C6F">
        <w:rPr>
          <w:rFonts w:cs="Arial"/>
          <w:color w:val="000000" w:themeColor="text1"/>
          <w:sz w:val="22"/>
          <w:szCs w:val="22"/>
        </w:rPr>
        <w:t xml:space="preserve"> and</w:t>
      </w:r>
      <w:r w:rsidRPr="00442D9E">
        <w:rPr>
          <w:rFonts w:cs="Arial"/>
          <w:color w:val="000000" w:themeColor="text1"/>
          <w:sz w:val="22"/>
          <w:szCs w:val="22"/>
        </w:rPr>
        <w:t xml:space="preserve"> a catch-up program is providing access to individuals up to the age of</w:t>
      </w:r>
      <w:r w:rsidR="000B0331" w:rsidRPr="00442D9E">
        <w:rPr>
          <w:rFonts w:cs="Arial"/>
          <w:color w:val="000000" w:themeColor="text1"/>
          <w:sz w:val="22"/>
          <w:szCs w:val="22"/>
        </w:rPr>
        <w:t xml:space="preserve"> </w:t>
      </w:r>
      <w:r w:rsidR="00831EF0" w:rsidRPr="00442D9E">
        <w:rPr>
          <w:rFonts w:cs="Arial"/>
          <w:color w:val="000000" w:themeColor="text1"/>
          <w:sz w:val="22"/>
          <w:szCs w:val="22"/>
        </w:rPr>
        <w:t>26</w:t>
      </w:r>
      <w:r w:rsidRPr="00442D9E">
        <w:rPr>
          <w:rFonts w:cs="Arial"/>
          <w:color w:val="000000" w:themeColor="text1"/>
          <w:sz w:val="22"/>
          <w:szCs w:val="22"/>
        </w:rPr>
        <w:t>, as well as humanitarian entrants. Heightening awareness and education on the HPV vaccination and catch-up program is critical for preventing transmission in populations most vulnerable to STI.</w:t>
      </w:r>
    </w:p>
    <w:p w14:paraId="26B7C658" w14:textId="77777777" w:rsidR="00031E79" w:rsidRPr="00442D9E" w:rsidRDefault="00031E79" w:rsidP="00522C41">
      <w:pPr>
        <w:pStyle w:val="BodyText"/>
        <w:spacing w:after="0"/>
        <w:jc w:val="both"/>
        <w:rPr>
          <w:rFonts w:cs="Arial"/>
          <w:color w:val="000000" w:themeColor="text1"/>
          <w:sz w:val="22"/>
          <w:szCs w:val="22"/>
        </w:rPr>
      </w:pPr>
    </w:p>
    <w:p w14:paraId="3D7A88EE" w14:textId="0BCD2CC1"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Study results from the GoGoVax research program to trial a gonococcal vaccine will be available in 2025 and, if efficacious, could make a significant contribution to addressing the high and increasing rates of gonococcal infection in gay, bisexual</w:t>
      </w:r>
      <w:r w:rsidR="00E6149D">
        <w:rPr>
          <w:rFonts w:cs="Arial"/>
          <w:color w:val="000000" w:themeColor="text1"/>
          <w:sz w:val="22"/>
          <w:szCs w:val="22"/>
        </w:rPr>
        <w:t>,</w:t>
      </w:r>
      <w:r w:rsidRPr="00442D9E">
        <w:rPr>
          <w:rFonts w:cs="Arial"/>
          <w:color w:val="000000" w:themeColor="text1"/>
          <w:sz w:val="22"/>
          <w:szCs w:val="22"/>
        </w:rPr>
        <w:t xml:space="preserve"> and other men who have sex with men and other groups.</w:t>
      </w:r>
      <w:r w:rsidR="008B43F1">
        <w:rPr>
          <w:rFonts w:ascii="ZWAdobeF" w:hAnsi="ZWAdobeF" w:cs="ZWAdobeF"/>
          <w:sz w:val="2"/>
          <w:szCs w:val="2"/>
        </w:rPr>
        <w:t>117F</w:t>
      </w:r>
      <w:r w:rsidRPr="00442D9E">
        <w:rPr>
          <w:rStyle w:val="EndnoteReference"/>
          <w:rFonts w:cs="Arial"/>
          <w:color w:val="000000" w:themeColor="text1"/>
          <w:sz w:val="22"/>
          <w:szCs w:val="22"/>
        </w:rPr>
        <w:endnoteReference w:id="117"/>
      </w:r>
    </w:p>
    <w:p w14:paraId="71824729" w14:textId="77777777" w:rsidR="00031E79" w:rsidRPr="00442D9E" w:rsidRDefault="00031E79" w:rsidP="00522C41">
      <w:pPr>
        <w:pStyle w:val="BodyText"/>
        <w:spacing w:after="0"/>
        <w:jc w:val="both"/>
        <w:rPr>
          <w:rFonts w:cs="Arial"/>
          <w:color w:val="000000" w:themeColor="text1"/>
          <w:sz w:val="22"/>
          <w:szCs w:val="22"/>
        </w:rPr>
      </w:pPr>
    </w:p>
    <w:p w14:paraId="7340DAB2" w14:textId="7FCDE3F2"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 xml:space="preserve">This </w:t>
      </w:r>
      <w:r w:rsidR="007F4B68">
        <w:rPr>
          <w:rFonts w:cs="Arial"/>
          <w:color w:val="000000" w:themeColor="text1"/>
          <w:sz w:val="22"/>
          <w:szCs w:val="22"/>
        </w:rPr>
        <w:t>S</w:t>
      </w:r>
      <w:r w:rsidRPr="00442D9E">
        <w:rPr>
          <w:rFonts w:cs="Arial"/>
          <w:color w:val="000000" w:themeColor="text1"/>
          <w:sz w:val="22"/>
          <w:szCs w:val="22"/>
        </w:rPr>
        <w:t>trategy must be responsive to emerging and new STI prevention strategies, for example, use of the antibiotic, doxycycline, as post-exposure prophylaxis (Doxy-PEP) after sex to prevent STI and targeted rollout of the meningococcal B vaccine.</w:t>
      </w:r>
    </w:p>
    <w:p w14:paraId="3A8DC342" w14:textId="77777777" w:rsidR="00031E79" w:rsidRPr="00442D9E" w:rsidRDefault="00031E79" w:rsidP="00522C41">
      <w:pPr>
        <w:jc w:val="both"/>
        <w:rPr>
          <w:rFonts w:cs="Arial"/>
          <w:color w:val="000000" w:themeColor="text1"/>
          <w:sz w:val="22"/>
          <w:szCs w:val="22"/>
        </w:rPr>
      </w:pPr>
    </w:p>
    <w:p w14:paraId="2879640D" w14:textId="07523625" w:rsidR="009F7537" w:rsidRDefault="00031E79" w:rsidP="00C412D7">
      <w:pPr>
        <w:pStyle w:val="BodyText"/>
        <w:spacing w:after="0"/>
        <w:jc w:val="both"/>
        <w:rPr>
          <w:rFonts w:cs="Arial"/>
          <w:color w:val="000000" w:themeColor="text1"/>
          <w:sz w:val="22"/>
          <w:szCs w:val="22"/>
        </w:rPr>
      </w:pPr>
      <w:r w:rsidRPr="00442D9E">
        <w:rPr>
          <w:rFonts w:cs="Arial"/>
          <w:color w:val="000000" w:themeColor="text1"/>
          <w:sz w:val="22"/>
          <w:szCs w:val="22"/>
        </w:rPr>
        <w:t>Testing for STI should become part of routine self-care and clinical practice to monitor sexual and reproductive health and well-being, particularly for people changing partners or with more than one sexual partner. Taking a life-course approach, a sustained effort is needed to engage with each generation using approaches that promote awareness, bolster prevention, inform health-enabling actions and reduce barriers to accessing services.</w:t>
      </w:r>
      <w:r w:rsidR="00C412D7">
        <w:rPr>
          <w:rFonts w:cs="Arial"/>
          <w:color w:val="000000" w:themeColor="text1"/>
          <w:sz w:val="22"/>
          <w:szCs w:val="22"/>
        </w:rPr>
        <w:t xml:space="preserve"> </w:t>
      </w:r>
    </w:p>
    <w:p w14:paraId="108D3E0F" w14:textId="77777777" w:rsidR="00C412D7" w:rsidRDefault="00C412D7" w:rsidP="00C412D7">
      <w:pPr>
        <w:pStyle w:val="BodyText"/>
        <w:spacing w:after="0"/>
        <w:jc w:val="both"/>
        <w:rPr>
          <w:rFonts w:cs="Arial"/>
          <w:color w:val="000000" w:themeColor="text1"/>
          <w:sz w:val="22"/>
          <w:szCs w:val="22"/>
        </w:rPr>
      </w:pPr>
    </w:p>
    <w:p w14:paraId="3839CB79" w14:textId="77777777" w:rsidR="00C412D7" w:rsidRDefault="00C412D7" w:rsidP="00C412D7">
      <w:pPr>
        <w:pStyle w:val="BodyText"/>
        <w:spacing w:after="0"/>
        <w:jc w:val="both"/>
        <w:rPr>
          <w:rFonts w:cs="Arial"/>
          <w:color w:val="000000" w:themeColor="text1"/>
          <w:sz w:val="22"/>
          <w:szCs w:val="22"/>
        </w:rPr>
      </w:pPr>
    </w:p>
    <w:p w14:paraId="5CAE35C3" w14:textId="52AE4A23" w:rsidR="00031E79" w:rsidRPr="00442D9E" w:rsidRDefault="009F7537" w:rsidP="00C412D7">
      <w:pPr>
        <w:rPr>
          <w:rFonts w:cs="Arial"/>
          <w:color w:val="000000" w:themeColor="text1"/>
          <w:sz w:val="22"/>
          <w:szCs w:val="22"/>
        </w:rPr>
      </w:pPr>
      <w:r w:rsidRPr="00B4151B">
        <w:rPr>
          <w:rFonts w:cs="Arial"/>
          <w:noProof/>
          <w:color w:val="000000" w:themeColor="text1"/>
          <w:sz w:val="22"/>
          <w:szCs w:val="22"/>
        </w:rPr>
        <w:lastRenderedPageBreak/>
        <mc:AlternateContent>
          <mc:Choice Requires="wps">
            <w:drawing>
              <wp:inline distT="0" distB="0" distL="0" distR="0" wp14:anchorId="035EFB88" wp14:editId="193116D2">
                <wp:extent cx="6106601" cy="5455474"/>
                <wp:effectExtent l="19050" t="19050" r="27940" b="12065"/>
                <wp:docPr id="39151922" name="Text Box 39151922" descr="P889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601" cy="5455474"/>
                        </a:xfrm>
                        <a:prstGeom prst="rect">
                          <a:avLst/>
                        </a:prstGeom>
                        <a:solidFill>
                          <a:schemeClr val="accent2">
                            <a:lumMod val="20000"/>
                            <a:lumOff val="80000"/>
                            <a:alpha val="75000"/>
                          </a:schemeClr>
                        </a:solidFill>
                        <a:ln w="28575">
                          <a:solidFill>
                            <a:srgbClr val="FE9648">
                              <a:alpha val="74902"/>
                            </a:srgbClr>
                          </a:solidFill>
                          <a:miter lim="800000"/>
                          <a:headEnd/>
                          <a:tailEnd/>
                        </a:ln>
                      </wps:spPr>
                      <wps:txbx>
                        <w:txbxContent>
                          <w:p w14:paraId="1B38B4C6"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216A10D5" w14:textId="385F0AFC" w:rsidR="00894F38" w:rsidRPr="009F7537" w:rsidRDefault="00894F38" w:rsidP="009F7537">
                            <w:pPr>
                              <w:spacing w:after="120"/>
                            </w:pPr>
                            <w:r w:rsidRPr="009F7537">
                              <w:t xml:space="preserve">Two case studies, one from New South Wales, the other from Western Australia, illustrate initiatives and programs aimed at promoting prevention, testing, treatment/management of STI and HIV. </w:t>
                            </w:r>
                          </w:p>
                          <w:p w14:paraId="140A57F1" w14:textId="52F756B1" w:rsidR="00894F38" w:rsidRPr="009F7537" w:rsidRDefault="00894F38" w:rsidP="009F7537">
                            <w:pPr>
                              <w:spacing w:after="120"/>
                            </w:pPr>
                            <w:r w:rsidRPr="009F7537">
                              <w:t>The New South Wales Sexually Transmitted Infections Programs Unit (NSW STIPU) promotes community awareness through state-wide STI social marketing and communication campaigns, using humour and gamification to empower sexual health education. STIPU works with priority populations and the public and private health systems to build capacity for prevention, treatment</w:t>
                            </w:r>
                            <w:r>
                              <w:t>,</w:t>
                            </w:r>
                            <w:r w:rsidRPr="009F7537">
                              <w:t xml:space="preserve"> and management of STI and HIV. STIPU has three ongoing campaigns – Play Safe, a website about sexual health for young people aged 15-29 that utilises interactive tools and resources, attracting over 5 million visits; Take Blaktion, a campaign for young </w:t>
                            </w:r>
                            <w:r w:rsidR="009E5590" w:rsidRPr="009E5590">
                              <w:t>Aboriginal and Torres Strait Islander</w:t>
                            </w:r>
                            <w:r w:rsidRPr="009F7537">
                              <w:t xml:space="preserve"> people in NSW that uses comedy to break down shame and stigma and promote STI testing and condom use; and the International Health Hub, co-designed with international students it provides a one stop shop to improve access to trusted sexual health information and services for international students.</w:t>
                            </w:r>
                          </w:p>
                          <w:p w14:paraId="6BDC68BA" w14:textId="5D1AA264" w:rsidR="00894F38" w:rsidRPr="009F7537" w:rsidRDefault="00894F38" w:rsidP="009F7537">
                            <w:pPr>
                              <w:spacing w:after="120"/>
                            </w:pPr>
                            <w:r w:rsidRPr="009F7537">
                              <w:t>In Western Australia, highly accurate molecular point-of-care tests are being employed to reach Australia’s most remote communities, enabling the provision of same-day testing and more timely treatment by clinical staff through primary care services in these communities. Based on the results of the TTANGO (Test Treat ANd Go) research trial, TTANGO2 was funded, providing POC testing initially for chlamydia and gonorrhoea, with trichomoniasis added in 2018. STI testing using this approach was implemented in more than 30 primary health services in four jurisdictions. Preliminary results from a 2023 evaluation suggest that POC testing for STI is scalable, cost effective, provides sustained clinical benefits</w:t>
                            </w:r>
                            <w:r>
                              <w:t>,</w:t>
                            </w:r>
                            <w:r w:rsidRPr="009F7537">
                              <w:t xml:space="preserve"> and has strong acceptability among healthcare workers. For more detail on these case studies, see </w:t>
                            </w:r>
                            <w:hyperlink w:anchor="_Appendix_A:_CASE" w:history="1">
                              <w:r w:rsidRPr="009F7537">
                                <w:rPr>
                                  <w:rStyle w:val="Hyperlink"/>
                                </w:rPr>
                                <w:t>Appendix A</w:t>
                              </w:r>
                            </w:hyperlink>
                            <w:r w:rsidRPr="009F7537">
                              <w:t>.</w:t>
                            </w:r>
                          </w:p>
                          <w:p w14:paraId="0C870E43" w14:textId="027C4949" w:rsidR="00894F38" w:rsidRPr="003B2996" w:rsidRDefault="00894F38" w:rsidP="003B2996">
                            <w:pPr>
                              <w:spacing w:after="120"/>
                            </w:pPr>
                          </w:p>
                        </w:txbxContent>
                      </wps:txbx>
                      <wps:bodyPr rot="0" vert="horz" wrap="square" lIns="144000" tIns="144000" rIns="144000" bIns="144000" anchor="t" anchorCtr="0">
                        <a:noAutofit/>
                      </wps:bodyPr>
                    </wps:wsp>
                  </a:graphicData>
                </a:graphic>
              </wp:inline>
            </w:drawing>
          </mc:Choice>
          <mc:Fallback>
            <w:pict>
              <v:shape w14:anchorId="035EFB88" id="Text Box 39151922" o:spid="_x0000_s1040" type="#_x0000_t202" alt="P889TB15#y1" style="width:480.85pt;height:4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" fillcolor="#fbe4d5 [661]" strokecolor="#fe9648" strokeweight="2.25pt">
                <v:fill opacity="49087f"/>
                <v:stroke opacity="49087f"/>
                <v:textbox inset="4mm,4mm,4mm,4mm">
                  <w:txbxContent>
                    <w:p w14:paraId="1B38B4C6"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216A10D5" w14:textId="385F0AFC" w:rsidR="00894F38" w:rsidRPr="009F7537" w:rsidRDefault="00894F38" w:rsidP="009F7537">
                      <w:pPr>
                        <w:spacing w:after="120"/>
                      </w:pPr>
                      <w:r w:rsidRPr="009F7537">
                        <w:t xml:space="preserve">Two case studies, one from New South Wales, the other from Western Australia, illustrate initiatives and programs aimed at promoting prevention, testing, treatment/management of STI and HIV. </w:t>
                      </w:r>
                    </w:p>
                    <w:p w14:paraId="140A57F1" w14:textId="52F756B1" w:rsidR="00894F38" w:rsidRPr="009F7537" w:rsidRDefault="00894F38" w:rsidP="009F7537">
                      <w:pPr>
                        <w:spacing w:after="120"/>
                      </w:pPr>
                      <w:r w:rsidRPr="009F7537">
                        <w:t>The New South Wales Sexually Transmitted Infections Programs Unit (NSW STIPU) promotes community awareness through state-wide STI social marketing and communication campaigns, using humour and gamification to empower sexual health education. STIPU works with priority populations and the public and private health systems to build capacity for prevention, treatment</w:t>
                      </w:r>
                      <w:r>
                        <w:t>,</w:t>
                      </w:r>
                      <w:r w:rsidRPr="009F7537">
                        <w:t xml:space="preserve"> and management of STI and HIV. STIPU has three ongoing campaigns – Play Safe, a website about sexual health for young people aged 15-29 that utilises interactive tools and resources, attracting over 5 million visits; Take Blaktion, a campaign for young </w:t>
                      </w:r>
                      <w:r w:rsidR="009E5590" w:rsidRPr="009E5590">
                        <w:t>Aboriginal and Torres Strait Islander</w:t>
                      </w:r>
                      <w:r w:rsidRPr="009F7537">
                        <w:t xml:space="preserve"> people in NSW that uses comedy to break down shame and stigma and promote STI testing and condom use; and the International Health Hub, co-designed with international students it provides a one stop shop to improve access to trusted sexual health information and services for international students.</w:t>
                      </w:r>
                    </w:p>
                    <w:p w14:paraId="6BDC68BA" w14:textId="5D1AA264" w:rsidR="00894F38" w:rsidRPr="009F7537" w:rsidRDefault="00894F38" w:rsidP="009F7537">
                      <w:pPr>
                        <w:spacing w:after="120"/>
                      </w:pPr>
                      <w:r w:rsidRPr="009F7537">
                        <w:t>In Western Australia, highly accurate molecular point-of-care tests are being employed to reach Australia’s most remote communities, enabling the provision of same-day testing and more timely treatment by clinical staff through primary care services in these communities. Based on the results of the TTANGO (Test Treat ANd Go) research trial, TTANGO2 was funded, providing POC testing initially for chlamydia and gonorrhoea, with trichomoniasis added in 2018. STI testing using this approach was implemented in more than 30 primary health services in four jurisdictions. Preliminary results from a 2023 evaluation suggest that POC testing for STI is scalable, cost effective, provides sustained clinical benefits</w:t>
                      </w:r>
                      <w:r>
                        <w:t>,</w:t>
                      </w:r>
                      <w:r w:rsidRPr="009F7537">
                        <w:t xml:space="preserve"> and has strong acceptability among healthcare workers. For more detail on these case studies, see </w:t>
                      </w:r>
                      <w:hyperlink w:anchor="_Appendix_A:_CASE" w:history="1">
                        <w:r w:rsidRPr="009F7537">
                          <w:rPr>
                            <w:rStyle w:val="Hyperlink"/>
                          </w:rPr>
                          <w:t>Appendix A</w:t>
                        </w:r>
                      </w:hyperlink>
                      <w:r w:rsidRPr="009F7537">
                        <w:t>.</w:t>
                      </w:r>
                    </w:p>
                    <w:p w14:paraId="0C870E43" w14:textId="027C4949" w:rsidR="00894F38" w:rsidRPr="003B2996" w:rsidRDefault="00894F38" w:rsidP="003B2996">
                      <w:pPr>
                        <w:spacing w:after="120"/>
                      </w:pPr>
                    </w:p>
                  </w:txbxContent>
                </v:textbox>
                <w10:anchorlock/>
              </v:shape>
            </w:pict>
          </mc:Fallback>
        </mc:AlternateContent>
      </w:r>
    </w:p>
    <w:p w14:paraId="4572A7A3" w14:textId="77777777" w:rsidR="00024AC7" w:rsidRPr="00442D9E" w:rsidRDefault="00024AC7" w:rsidP="00522C41">
      <w:pPr>
        <w:pStyle w:val="BodyText"/>
        <w:spacing w:after="0"/>
        <w:jc w:val="both"/>
        <w:rPr>
          <w:rFonts w:cs="Arial"/>
          <w:b/>
          <w:bCs/>
          <w:color w:val="000000" w:themeColor="text1"/>
          <w:sz w:val="22"/>
          <w:szCs w:val="22"/>
        </w:rPr>
      </w:pPr>
    </w:p>
    <w:p w14:paraId="3C0576FC" w14:textId="77777777" w:rsidR="00952A93" w:rsidRDefault="00952A93">
      <w:pPr>
        <w:pStyle w:val="BodyText"/>
        <w:spacing w:after="0"/>
        <w:jc w:val="both"/>
        <w:rPr>
          <w:rFonts w:cs="Arial"/>
          <w:color w:val="000000" w:themeColor="text1"/>
          <w:sz w:val="22"/>
          <w:szCs w:val="22"/>
        </w:rPr>
      </w:pPr>
    </w:p>
    <w:p w14:paraId="455BA0C9" w14:textId="77777777" w:rsidR="00C412D7" w:rsidRDefault="00C412D7">
      <w:pPr>
        <w:rPr>
          <w:rFonts w:eastAsiaTheme="minorHAnsi" w:cstheme="minorBidi"/>
          <w:b/>
          <w:bCs/>
          <w:color w:val="36424A"/>
          <w:sz w:val="22"/>
          <w:szCs w:val="18"/>
          <w:lang w:val="en-NZ" w:eastAsia="en-US"/>
        </w:rPr>
      </w:pPr>
      <w:r>
        <w:br w:type="page"/>
      </w:r>
    </w:p>
    <w:p w14:paraId="643D27C9" w14:textId="49571B70" w:rsidR="008531B3" w:rsidRDefault="008531B3" w:rsidP="008531B3">
      <w:pPr>
        <w:pStyle w:val="Caption"/>
        <w:rPr>
          <w:rFonts w:cs="Arial"/>
          <w:color w:val="000000" w:themeColor="text1"/>
          <w:szCs w:val="22"/>
          <w:lang w:val="en-AU"/>
        </w:rPr>
      </w:pPr>
      <w:r>
        <w:lastRenderedPageBreak/>
        <w:t xml:space="preserve">Table </w:t>
      </w:r>
      <w:r>
        <w:fldChar w:fldCharType="begin"/>
      </w:r>
      <w:r>
        <w:instrText xml:space="preserve"> SEQ Table \* ARABIC </w:instrText>
      </w:r>
      <w:r>
        <w:fldChar w:fldCharType="separate"/>
      </w:r>
      <w:r w:rsidR="00853142">
        <w:rPr>
          <w:noProof/>
        </w:rPr>
        <w:t>6</w:t>
      </w:r>
      <w:r>
        <w:fldChar w:fldCharType="end"/>
      </w:r>
      <w:r>
        <w:t>: Key areas for action</w:t>
      </w:r>
      <w:r w:rsidR="004E2A75">
        <w:t xml:space="preserve"> - </w:t>
      </w:r>
      <w:r>
        <w:t>Prevention, testing and treatment</w:t>
      </w:r>
    </w:p>
    <w:tbl>
      <w:tblPr>
        <w:tblW w:w="0" w:type="auto"/>
        <w:tblBorders>
          <w:top w:val="single" w:sz="8" w:space="0" w:color="F7941D"/>
          <w:left w:val="single" w:sz="8" w:space="0" w:color="F7941D"/>
          <w:bottom w:val="single" w:sz="8" w:space="0" w:color="F7941D"/>
          <w:right w:val="single" w:sz="8" w:space="0" w:color="F7941D"/>
          <w:insideH w:val="single" w:sz="8" w:space="0" w:color="F7941D"/>
          <w:insideV w:val="single" w:sz="8" w:space="0" w:color="F7941D"/>
        </w:tblBorders>
        <w:tblLayout w:type="fixed"/>
        <w:tblCellMar>
          <w:left w:w="170" w:type="dxa"/>
          <w:right w:w="170" w:type="dxa"/>
        </w:tblCellMar>
        <w:tblLook w:val="0000" w:firstRow="0" w:lastRow="0" w:firstColumn="0" w:lastColumn="0" w:noHBand="0" w:noVBand="0"/>
      </w:tblPr>
      <w:tblGrid>
        <w:gridCol w:w="983"/>
        <w:gridCol w:w="8629"/>
      </w:tblGrid>
      <w:tr w:rsidR="00952A93" w14:paraId="148BC2F8" w14:textId="77777777" w:rsidTr="06DE5C08">
        <w:tc>
          <w:tcPr>
            <w:tcW w:w="9612" w:type="dxa"/>
            <w:gridSpan w:val="2"/>
            <w:shd w:val="clear" w:color="auto" w:fill="FE9648"/>
          </w:tcPr>
          <w:p w14:paraId="4E89B905" w14:textId="755B7456" w:rsidR="00952A93" w:rsidRPr="00952A93" w:rsidRDefault="00952A93">
            <w:pPr>
              <w:pStyle w:val="BodyText"/>
              <w:spacing w:before="120"/>
              <w:jc w:val="both"/>
              <w:rPr>
                <w:rFonts w:cs="Arial"/>
                <w:b/>
                <w:bCs/>
                <w:color w:val="000000"/>
                <w:sz w:val="22"/>
                <w:szCs w:val="22"/>
              </w:rPr>
            </w:pPr>
            <w:r w:rsidRPr="00952A93">
              <w:rPr>
                <w:rFonts w:cs="Arial"/>
                <w:b/>
                <w:bCs/>
                <w:color w:val="000000"/>
                <w:sz w:val="22"/>
                <w:szCs w:val="22"/>
              </w:rPr>
              <w:t>KEY AREAS FOR ACTION – Prevention, testing and treatment</w:t>
            </w:r>
          </w:p>
        </w:tc>
      </w:tr>
      <w:tr w:rsidR="00EE5498" w14:paraId="2852A540" w14:textId="77777777" w:rsidTr="06DE5C08">
        <w:tc>
          <w:tcPr>
            <w:tcW w:w="983" w:type="dxa"/>
            <w:tcBorders>
              <w:right w:val="nil"/>
            </w:tcBorders>
          </w:tcPr>
          <w:p w14:paraId="50C368E1" w14:textId="5790CB6B" w:rsidR="00EE5498" w:rsidRPr="00771B0D" w:rsidRDefault="00144798" w:rsidP="00EE5498">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5</w:t>
            </w:r>
          </w:p>
        </w:tc>
        <w:tc>
          <w:tcPr>
            <w:tcW w:w="8629" w:type="dxa"/>
            <w:tcBorders>
              <w:left w:val="nil"/>
            </w:tcBorders>
          </w:tcPr>
          <w:p w14:paraId="739B4FD5" w14:textId="78C0C68F" w:rsidR="00EE5498" w:rsidRPr="00E277D7" w:rsidRDefault="00EE5498" w:rsidP="00D82341">
            <w:pPr>
              <w:pStyle w:val="BodyText"/>
              <w:spacing w:before="120"/>
              <w:rPr>
                <w:rFonts w:cs="Arial"/>
                <w:color w:val="000000" w:themeColor="text1"/>
                <w:sz w:val="22"/>
                <w:szCs w:val="22"/>
              </w:rPr>
            </w:pPr>
            <w:r w:rsidRPr="00E277D7">
              <w:rPr>
                <w:rFonts w:cs="Arial"/>
                <w:color w:val="000000" w:themeColor="text1"/>
                <w:sz w:val="22"/>
                <w:szCs w:val="22"/>
              </w:rPr>
              <w:t>Support the scale-up of evidence-based interventions aimed at reducing morbidity associated with STI, with a focus on infectious and congenital syphilis, repeat chlamydia infections and infections that cause pelvic inflammatory disease (chlamydia, gonorrhoea or Mgen) and other complications from STI for young people.</w:t>
            </w:r>
          </w:p>
        </w:tc>
      </w:tr>
      <w:tr w:rsidR="00E277D7" w14:paraId="2E41B055" w14:textId="77777777" w:rsidTr="06DE5C08">
        <w:tc>
          <w:tcPr>
            <w:tcW w:w="983" w:type="dxa"/>
            <w:tcBorders>
              <w:right w:val="nil"/>
            </w:tcBorders>
          </w:tcPr>
          <w:p w14:paraId="76D1A94A" w14:textId="7A6B1E2E" w:rsidR="00E277D7" w:rsidRPr="00771B0D" w:rsidRDefault="00144798" w:rsidP="00E277D7">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6</w:t>
            </w:r>
          </w:p>
        </w:tc>
        <w:tc>
          <w:tcPr>
            <w:tcW w:w="8629" w:type="dxa"/>
            <w:tcBorders>
              <w:left w:val="nil"/>
            </w:tcBorders>
          </w:tcPr>
          <w:p w14:paraId="566824DB" w14:textId="1B723287" w:rsidR="00E277D7" w:rsidRPr="00FD3ECF" w:rsidRDefault="00E277D7" w:rsidP="00D82341">
            <w:pPr>
              <w:pStyle w:val="BodyText"/>
              <w:spacing w:before="120"/>
              <w:rPr>
                <w:rFonts w:cs="Arial"/>
                <w:color w:val="000000" w:themeColor="text1"/>
                <w:sz w:val="22"/>
                <w:szCs w:val="22"/>
              </w:rPr>
            </w:pPr>
            <w:r w:rsidRPr="00FD3ECF">
              <w:rPr>
                <w:rFonts w:cs="Arial"/>
                <w:color w:val="000000" w:themeColor="text1"/>
                <w:sz w:val="22"/>
                <w:szCs w:val="22"/>
              </w:rPr>
              <w:t>To respond to emerging and new STI</w:t>
            </w:r>
            <w:r w:rsidR="00247007" w:rsidRPr="00576F39">
              <w:rPr>
                <w:rFonts w:cs="Arial"/>
                <w:color w:val="000000" w:themeColor="text1"/>
                <w:sz w:val="22"/>
                <w:szCs w:val="22"/>
              </w:rPr>
              <w:t xml:space="preserve"> public health</w:t>
            </w:r>
            <w:r w:rsidRPr="00FD3ECF">
              <w:rPr>
                <w:rFonts w:cs="Arial"/>
                <w:color w:val="000000" w:themeColor="text1"/>
                <w:sz w:val="22"/>
                <w:szCs w:val="22"/>
              </w:rPr>
              <w:t xml:space="preserve"> </w:t>
            </w:r>
            <w:r w:rsidR="00C00247" w:rsidRPr="004D0908">
              <w:rPr>
                <w:rFonts w:cs="Arial"/>
                <w:color w:val="000000" w:themeColor="text1"/>
                <w:sz w:val="22"/>
                <w:szCs w:val="22"/>
              </w:rPr>
              <w:t>threats</w:t>
            </w:r>
            <w:r w:rsidRPr="00FD3ECF">
              <w:rPr>
                <w:rFonts w:cs="Arial"/>
                <w:color w:val="000000" w:themeColor="text1"/>
                <w:sz w:val="22"/>
                <w:szCs w:val="22"/>
              </w:rPr>
              <w:t>:</w:t>
            </w:r>
          </w:p>
          <w:p w14:paraId="745AD69F" w14:textId="7A71B15C" w:rsidR="00E277D7" w:rsidRPr="00FD3ECF" w:rsidRDefault="00E277D7" w:rsidP="008B43F1">
            <w:pPr>
              <w:pStyle w:val="BodyText"/>
              <w:numPr>
                <w:ilvl w:val="1"/>
                <w:numId w:val="25"/>
              </w:numPr>
              <w:spacing w:before="120"/>
              <w:jc w:val="both"/>
              <w:rPr>
                <w:rFonts w:cs="Arial"/>
                <w:color w:val="000000" w:themeColor="text1"/>
                <w:sz w:val="22"/>
                <w:szCs w:val="22"/>
              </w:rPr>
            </w:pPr>
            <w:r w:rsidRPr="00FD3ECF">
              <w:rPr>
                <w:rFonts w:cs="Arial"/>
                <w:color w:val="000000" w:themeColor="text1"/>
                <w:sz w:val="22"/>
                <w:szCs w:val="22"/>
              </w:rPr>
              <w:t xml:space="preserve">National guidelines </w:t>
            </w:r>
            <w:r w:rsidR="00560BD5">
              <w:rPr>
                <w:rFonts w:cs="Arial"/>
                <w:color w:val="000000" w:themeColor="text1"/>
                <w:sz w:val="22"/>
                <w:szCs w:val="22"/>
              </w:rPr>
              <w:t xml:space="preserve">are </w:t>
            </w:r>
            <w:r w:rsidRPr="00FD3ECF">
              <w:rPr>
                <w:rFonts w:cs="Arial"/>
                <w:color w:val="000000" w:themeColor="text1"/>
                <w:sz w:val="22"/>
                <w:szCs w:val="22"/>
              </w:rPr>
              <w:t>developed for clinicians to refer to and be educated on.</w:t>
            </w:r>
          </w:p>
          <w:p w14:paraId="5BE895A2" w14:textId="76AE10ED" w:rsidR="00E277D7" w:rsidRPr="00FD3ECF" w:rsidRDefault="00E277D7" w:rsidP="008B43F1">
            <w:pPr>
              <w:pStyle w:val="BodyText"/>
              <w:numPr>
                <w:ilvl w:val="1"/>
                <w:numId w:val="25"/>
              </w:numPr>
              <w:spacing w:before="120"/>
              <w:jc w:val="both"/>
              <w:rPr>
                <w:rFonts w:cs="Arial"/>
                <w:color w:val="000000" w:themeColor="text1"/>
                <w:sz w:val="22"/>
                <w:szCs w:val="22"/>
              </w:rPr>
            </w:pPr>
            <w:r w:rsidRPr="00FD3ECF">
              <w:rPr>
                <w:rFonts w:cs="Arial"/>
                <w:color w:val="000000" w:themeColor="text1"/>
                <w:sz w:val="22"/>
                <w:szCs w:val="22"/>
              </w:rPr>
              <w:t xml:space="preserve">Community education and awareness </w:t>
            </w:r>
            <w:r w:rsidR="00247007" w:rsidRPr="00576F39">
              <w:rPr>
                <w:rFonts w:cs="Arial"/>
                <w:color w:val="000000" w:themeColor="text1"/>
                <w:sz w:val="22"/>
                <w:szCs w:val="22"/>
              </w:rPr>
              <w:t>activities</w:t>
            </w:r>
            <w:r w:rsidRPr="00FD3ECF">
              <w:rPr>
                <w:rFonts w:cs="Arial"/>
                <w:color w:val="000000" w:themeColor="text1"/>
                <w:sz w:val="22"/>
                <w:szCs w:val="22"/>
              </w:rPr>
              <w:t xml:space="preserve"> </w:t>
            </w:r>
            <w:r w:rsidR="00353945">
              <w:rPr>
                <w:rFonts w:cs="Arial"/>
                <w:color w:val="000000" w:themeColor="text1"/>
                <w:sz w:val="22"/>
                <w:szCs w:val="22"/>
              </w:rPr>
              <w:t>to</w:t>
            </w:r>
            <w:r w:rsidR="00353945" w:rsidRPr="00FD3ECF">
              <w:rPr>
                <w:rFonts w:cs="Arial"/>
                <w:color w:val="000000" w:themeColor="text1"/>
                <w:sz w:val="22"/>
                <w:szCs w:val="22"/>
              </w:rPr>
              <w:t xml:space="preserve"> </w:t>
            </w:r>
            <w:r w:rsidRPr="00FD3ECF">
              <w:rPr>
                <w:rFonts w:cs="Arial"/>
                <w:color w:val="000000" w:themeColor="text1"/>
                <w:sz w:val="22"/>
                <w:szCs w:val="22"/>
              </w:rPr>
              <w:t xml:space="preserve">be </w:t>
            </w:r>
            <w:r w:rsidR="00247007" w:rsidRPr="00576F39">
              <w:rPr>
                <w:rFonts w:cs="Arial"/>
                <w:color w:val="000000" w:themeColor="text1"/>
                <w:sz w:val="22"/>
                <w:szCs w:val="22"/>
              </w:rPr>
              <w:t xml:space="preserve">co-designed with relevant community organisations and resources translated where necessary. </w:t>
            </w:r>
          </w:p>
          <w:p w14:paraId="12FC3B5D" w14:textId="42C22714" w:rsidR="00696FB8" w:rsidRPr="00FD3ECF" w:rsidRDefault="00696FB8" w:rsidP="008B43F1">
            <w:pPr>
              <w:pStyle w:val="BodyText"/>
              <w:numPr>
                <w:ilvl w:val="1"/>
                <w:numId w:val="25"/>
              </w:numPr>
              <w:spacing w:before="120"/>
              <w:jc w:val="both"/>
              <w:rPr>
                <w:rFonts w:eastAsiaTheme="majorEastAsia" w:cs="Arial"/>
                <w:color w:val="000000" w:themeColor="text1"/>
                <w:sz w:val="22"/>
                <w:szCs w:val="22"/>
              </w:rPr>
            </w:pPr>
            <w:r>
              <w:rPr>
                <w:rFonts w:cs="Arial"/>
                <w:color w:val="000000" w:themeColor="text1"/>
                <w:sz w:val="22"/>
                <w:szCs w:val="22"/>
              </w:rPr>
              <w:t>C</w:t>
            </w:r>
            <w:r w:rsidRPr="00FD3ECF">
              <w:rPr>
                <w:rFonts w:cs="Arial"/>
                <w:color w:val="000000" w:themeColor="text1"/>
                <w:sz w:val="22"/>
                <w:szCs w:val="22"/>
              </w:rPr>
              <w:t xml:space="preserve">linical and implementation research </w:t>
            </w:r>
            <w:r>
              <w:rPr>
                <w:rFonts w:cs="Arial"/>
                <w:color w:val="000000" w:themeColor="text1"/>
                <w:sz w:val="22"/>
                <w:szCs w:val="22"/>
              </w:rPr>
              <w:t xml:space="preserve">be conducted to </w:t>
            </w:r>
            <w:r w:rsidRPr="00FD3ECF">
              <w:rPr>
                <w:rFonts w:cs="Arial"/>
                <w:color w:val="000000" w:themeColor="text1"/>
                <w:sz w:val="22"/>
                <w:szCs w:val="22"/>
              </w:rPr>
              <w:t>support</w:t>
            </w:r>
            <w:r>
              <w:rPr>
                <w:rFonts w:cs="Arial"/>
                <w:color w:val="000000" w:themeColor="text1"/>
                <w:sz w:val="22"/>
                <w:szCs w:val="22"/>
              </w:rPr>
              <w:t xml:space="preserve"> the response.</w:t>
            </w:r>
          </w:p>
          <w:p w14:paraId="645865AE" w14:textId="4D9A3F64" w:rsidR="00E277D7" w:rsidRPr="00FD3ECF" w:rsidRDefault="00696FB8" w:rsidP="008B43F1">
            <w:pPr>
              <w:pStyle w:val="BodyText"/>
              <w:numPr>
                <w:ilvl w:val="1"/>
                <w:numId w:val="25"/>
              </w:numPr>
              <w:spacing w:before="120"/>
              <w:jc w:val="both"/>
              <w:rPr>
                <w:rFonts w:cs="Arial"/>
                <w:color w:val="000000" w:themeColor="text1"/>
                <w:sz w:val="22"/>
                <w:szCs w:val="22"/>
              </w:rPr>
            </w:pPr>
            <w:r>
              <w:rPr>
                <w:rFonts w:cs="Arial"/>
                <w:color w:val="000000" w:themeColor="text1"/>
                <w:sz w:val="22"/>
                <w:szCs w:val="22"/>
              </w:rPr>
              <w:t>R</w:t>
            </w:r>
            <w:r w:rsidRPr="00FD3ECF">
              <w:rPr>
                <w:rFonts w:cs="Arial"/>
                <w:color w:val="000000" w:themeColor="text1"/>
                <w:sz w:val="22"/>
                <w:szCs w:val="22"/>
              </w:rPr>
              <w:t xml:space="preserve">esponses </w:t>
            </w:r>
            <w:r>
              <w:rPr>
                <w:rFonts w:cs="Arial"/>
                <w:color w:val="000000" w:themeColor="text1"/>
                <w:sz w:val="22"/>
                <w:szCs w:val="22"/>
              </w:rPr>
              <w:t xml:space="preserve">to be </w:t>
            </w:r>
            <w:r w:rsidRPr="00FD3ECF">
              <w:rPr>
                <w:rFonts w:cs="Arial"/>
                <w:color w:val="000000" w:themeColor="text1"/>
                <w:sz w:val="22"/>
                <w:szCs w:val="22"/>
              </w:rPr>
              <w:t>informed by emerging evidence and changing practice.</w:t>
            </w:r>
          </w:p>
        </w:tc>
      </w:tr>
      <w:tr w:rsidR="00EE5DF4" w14:paraId="6AB2D624" w14:textId="77777777" w:rsidTr="00C55161">
        <w:trPr>
          <w:trHeight w:val="1188"/>
        </w:trPr>
        <w:tc>
          <w:tcPr>
            <w:tcW w:w="983" w:type="dxa"/>
            <w:tcBorders>
              <w:right w:val="nil"/>
            </w:tcBorders>
          </w:tcPr>
          <w:p w14:paraId="5D73431B" w14:textId="4E7AD296" w:rsidR="00EE5DF4" w:rsidRDefault="00144798" w:rsidP="00EE5DF4">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7</w:t>
            </w:r>
          </w:p>
        </w:tc>
        <w:tc>
          <w:tcPr>
            <w:tcW w:w="8629" w:type="dxa"/>
            <w:tcBorders>
              <w:left w:val="nil"/>
            </w:tcBorders>
          </w:tcPr>
          <w:p w14:paraId="29E253BA" w14:textId="58EDB183" w:rsidR="00EE5DF4" w:rsidRPr="00E277D7" w:rsidRDefault="00EE5DF4" w:rsidP="00D82341">
            <w:pPr>
              <w:pStyle w:val="BodyText"/>
              <w:spacing w:before="120"/>
              <w:rPr>
                <w:rFonts w:cs="Arial"/>
                <w:color w:val="000000" w:themeColor="text1"/>
                <w:sz w:val="22"/>
                <w:szCs w:val="22"/>
              </w:rPr>
            </w:pPr>
            <w:r w:rsidRPr="00085824">
              <w:rPr>
                <w:rFonts w:cs="Arial"/>
                <w:color w:val="000000" w:themeColor="text1"/>
                <w:sz w:val="22"/>
                <w:szCs w:val="22"/>
              </w:rPr>
              <w:t xml:space="preserve">Co-design and offer a range of testing methods and opportunities across settings for priority populations, including point-of-care testing and </w:t>
            </w:r>
            <w:r w:rsidR="00A54A39">
              <w:rPr>
                <w:rFonts w:cs="Arial"/>
                <w:color w:val="000000" w:themeColor="text1"/>
                <w:sz w:val="22"/>
                <w:szCs w:val="22"/>
              </w:rPr>
              <w:t xml:space="preserve">the </w:t>
            </w:r>
            <w:r w:rsidRPr="00085824">
              <w:rPr>
                <w:rFonts w:cs="Arial"/>
                <w:color w:val="000000" w:themeColor="text1"/>
                <w:sz w:val="22"/>
                <w:szCs w:val="22"/>
              </w:rPr>
              <w:t>integration of testing in</w:t>
            </w:r>
            <w:r w:rsidR="00A54A39">
              <w:rPr>
                <w:rFonts w:cs="Arial"/>
                <w:color w:val="000000" w:themeColor="text1"/>
                <w:sz w:val="22"/>
                <w:szCs w:val="22"/>
              </w:rPr>
              <w:t>to</w:t>
            </w:r>
            <w:r w:rsidRPr="00085824">
              <w:rPr>
                <w:rFonts w:cs="Arial"/>
                <w:color w:val="000000" w:themeColor="text1"/>
                <w:sz w:val="22"/>
                <w:szCs w:val="22"/>
              </w:rPr>
              <w:t xml:space="preserve"> existing services, with a focus on rural, regional</w:t>
            </w:r>
            <w:r w:rsidR="001223F9">
              <w:rPr>
                <w:rFonts w:cs="Arial"/>
                <w:color w:val="000000" w:themeColor="text1"/>
                <w:sz w:val="22"/>
                <w:szCs w:val="22"/>
              </w:rPr>
              <w:t>,</w:t>
            </w:r>
            <w:r w:rsidRPr="00085824">
              <w:rPr>
                <w:rFonts w:cs="Arial"/>
                <w:color w:val="000000" w:themeColor="text1"/>
                <w:sz w:val="22"/>
                <w:szCs w:val="22"/>
              </w:rPr>
              <w:t xml:space="preserve"> and remote areas, </w:t>
            </w:r>
            <w:r w:rsidR="00696FB8">
              <w:rPr>
                <w:rFonts w:cs="Arial"/>
                <w:color w:val="000000" w:themeColor="text1"/>
                <w:sz w:val="22"/>
                <w:szCs w:val="22"/>
              </w:rPr>
              <w:t xml:space="preserve">and </w:t>
            </w:r>
            <w:r w:rsidRPr="00085824">
              <w:rPr>
                <w:rFonts w:cs="Arial"/>
                <w:color w:val="000000" w:themeColor="text1"/>
                <w:sz w:val="22"/>
                <w:szCs w:val="22"/>
              </w:rPr>
              <w:t>support</w:t>
            </w:r>
            <w:r w:rsidR="00696FB8">
              <w:rPr>
                <w:rFonts w:cs="Arial"/>
                <w:color w:val="000000" w:themeColor="text1"/>
                <w:sz w:val="22"/>
                <w:szCs w:val="22"/>
              </w:rPr>
              <w:t>ed by</w:t>
            </w:r>
            <w:r w:rsidRPr="00085824">
              <w:rPr>
                <w:rFonts w:cs="Arial"/>
                <w:color w:val="000000" w:themeColor="text1"/>
                <w:sz w:val="22"/>
                <w:szCs w:val="22"/>
              </w:rPr>
              <w:t xml:space="preserve"> nurse-led and peer-led models of care and including multidisciplinary teams.</w:t>
            </w:r>
          </w:p>
        </w:tc>
      </w:tr>
      <w:tr w:rsidR="00EE5DF4" w14:paraId="73670407" w14:textId="77777777" w:rsidTr="06DE5C08">
        <w:tc>
          <w:tcPr>
            <w:tcW w:w="983" w:type="dxa"/>
            <w:tcBorders>
              <w:right w:val="nil"/>
            </w:tcBorders>
          </w:tcPr>
          <w:p w14:paraId="49B1B9DF" w14:textId="7EE2EF2A" w:rsidR="00EE5DF4" w:rsidRDefault="00144798" w:rsidP="00EE5DF4">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8</w:t>
            </w:r>
          </w:p>
        </w:tc>
        <w:tc>
          <w:tcPr>
            <w:tcW w:w="8629" w:type="dxa"/>
            <w:tcBorders>
              <w:left w:val="nil"/>
            </w:tcBorders>
          </w:tcPr>
          <w:p w14:paraId="423481DE" w14:textId="0CFE4D21" w:rsidR="00EE5DF4" w:rsidRPr="001223F9" w:rsidRDefault="000202E7" w:rsidP="00D82341">
            <w:pPr>
              <w:pStyle w:val="BodyText"/>
              <w:spacing w:before="120"/>
              <w:rPr>
                <w:rFonts w:cs="Arial"/>
                <w:color w:val="000000" w:themeColor="text1"/>
                <w:sz w:val="22"/>
                <w:szCs w:val="22"/>
              </w:rPr>
            </w:pPr>
            <w:r>
              <w:rPr>
                <w:rFonts w:cs="Arial"/>
                <w:sz w:val="22"/>
                <w:szCs w:val="22"/>
              </w:rPr>
              <w:t>Implement compre</w:t>
            </w:r>
            <w:r w:rsidR="000D1E58">
              <w:rPr>
                <w:rFonts w:cs="Arial"/>
                <w:sz w:val="22"/>
                <w:szCs w:val="22"/>
              </w:rPr>
              <w:t>hensive S</w:t>
            </w:r>
            <w:r w:rsidR="006E6FDA">
              <w:rPr>
                <w:rFonts w:cs="Arial"/>
                <w:sz w:val="22"/>
                <w:szCs w:val="22"/>
              </w:rPr>
              <w:t xml:space="preserve">TI strategies by enhancing early and appropriate treatment </w:t>
            </w:r>
            <w:r w:rsidR="00425799">
              <w:rPr>
                <w:rFonts w:cs="Arial"/>
                <w:sz w:val="22"/>
                <w:szCs w:val="22"/>
              </w:rPr>
              <w:t>and wraparound care</w:t>
            </w:r>
            <w:r w:rsidR="00323F96">
              <w:rPr>
                <w:rFonts w:cs="Arial"/>
                <w:sz w:val="22"/>
                <w:szCs w:val="22"/>
              </w:rPr>
              <w:t>, and establishing sustainable funding models that incentivise</w:t>
            </w:r>
            <w:r w:rsidR="003E43C1">
              <w:rPr>
                <w:rFonts w:cs="Arial"/>
                <w:sz w:val="22"/>
                <w:szCs w:val="22"/>
              </w:rPr>
              <w:t xml:space="preserve"> increased testing efforts for priority populations relating to STI</w:t>
            </w:r>
            <w:r w:rsidR="007D331F">
              <w:rPr>
                <w:rFonts w:cs="Arial"/>
                <w:sz w:val="22"/>
                <w:szCs w:val="22"/>
              </w:rPr>
              <w:t xml:space="preserve"> risk factors. </w:t>
            </w:r>
          </w:p>
        </w:tc>
      </w:tr>
      <w:tr w:rsidR="00480F27" w14:paraId="522CF202" w14:textId="77777777" w:rsidTr="06DE5C08">
        <w:tc>
          <w:tcPr>
            <w:tcW w:w="983" w:type="dxa"/>
            <w:tcBorders>
              <w:right w:val="nil"/>
            </w:tcBorders>
          </w:tcPr>
          <w:p w14:paraId="232F43B2" w14:textId="4627D5D4" w:rsidR="00480F27" w:rsidRDefault="00480F27" w:rsidP="00480F27">
            <w:pPr>
              <w:pStyle w:val="BodyText"/>
              <w:spacing w:before="120"/>
              <w:jc w:val="center"/>
              <w:rPr>
                <w:rFonts w:cs="Arial"/>
                <w:b/>
                <w:bCs/>
                <w:color w:val="F7941D"/>
                <w:sz w:val="56"/>
                <w:szCs w:val="56"/>
              </w:rPr>
            </w:pPr>
            <w:r>
              <w:rPr>
                <w:rFonts w:cs="Arial"/>
                <w:b/>
                <w:bCs/>
                <w:color w:val="F7941D"/>
                <w:sz w:val="56"/>
                <w:szCs w:val="56"/>
              </w:rPr>
              <w:t>1</w:t>
            </w:r>
            <w:r w:rsidR="002F3E68">
              <w:rPr>
                <w:rFonts w:cs="Arial"/>
                <w:b/>
                <w:bCs/>
                <w:color w:val="F7941D"/>
                <w:sz w:val="56"/>
                <w:szCs w:val="56"/>
              </w:rPr>
              <w:t>9</w:t>
            </w:r>
          </w:p>
        </w:tc>
        <w:tc>
          <w:tcPr>
            <w:tcW w:w="8629" w:type="dxa"/>
            <w:tcBorders>
              <w:left w:val="nil"/>
            </w:tcBorders>
          </w:tcPr>
          <w:p w14:paraId="6744B6FD" w14:textId="76C2D68C" w:rsidR="00480F27" w:rsidRDefault="00480F27" w:rsidP="00480F27">
            <w:pPr>
              <w:pStyle w:val="BodyText"/>
              <w:spacing w:before="120"/>
              <w:rPr>
                <w:rFonts w:cs="Arial"/>
                <w:sz w:val="22"/>
                <w:szCs w:val="22"/>
              </w:rPr>
            </w:pPr>
            <w:r w:rsidRPr="00197E33">
              <w:rPr>
                <w:rFonts w:cs="Arial"/>
                <w:color w:val="000000" w:themeColor="text1"/>
                <w:sz w:val="22"/>
                <w:szCs w:val="22"/>
              </w:rPr>
              <w:t xml:space="preserve">Ensure that </w:t>
            </w:r>
            <w:r>
              <w:rPr>
                <w:rFonts w:cs="Arial"/>
                <w:color w:val="000000" w:themeColor="text1"/>
                <w:sz w:val="22"/>
                <w:szCs w:val="22"/>
              </w:rPr>
              <w:t xml:space="preserve">testing frequency is </w:t>
            </w:r>
            <w:r w:rsidRPr="00197E33">
              <w:rPr>
                <w:rFonts w:cs="Arial"/>
                <w:color w:val="000000" w:themeColor="text1"/>
                <w:sz w:val="22"/>
                <w:szCs w:val="22"/>
              </w:rPr>
              <w:t>informed by local epidemiology and expertise</w:t>
            </w:r>
            <w:r>
              <w:rPr>
                <w:rFonts w:cs="Arial"/>
                <w:color w:val="000000" w:themeColor="text1"/>
                <w:sz w:val="22"/>
                <w:szCs w:val="22"/>
              </w:rPr>
              <w:t xml:space="preserve"> to reduce morbidity, and </w:t>
            </w:r>
            <w:r w:rsidRPr="00197E33">
              <w:rPr>
                <w:rFonts w:cs="Arial"/>
                <w:color w:val="000000" w:themeColor="text1"/>
                <w:sz w:val="22"/>
                <w:szCs w:val="22"/>
              </w:rPr>
              <w:t>guidelines reflect the appropriate testing frequency for specific populations</w:t>
            </w:r>
            <w:r w:rsidR="00A9455A">
              <w:rPr>
                <w:rFonts w:cs="Arial"/>
                <w:color w:val="000000" w:themeColor="text1"/>
                <w:sz w:val="22"/>
                <w:szCs w:val="22"/>
              </w:rPr>
              <w:t>.</w:t>
            </w:r>
          </w:p>
        </w:tc>
      </w:tr>
    </w:tbl>
    <w:p w14:paraId="2FE71126" w14:textId="77777777" w:rsidR="00952A93" w:rsidRPr="00442D9E" w:rsidRDefault="00952A93">
      <w:pPr>
        <w:pStyle w:val="BodyText"/>
        <w:spacing w:after="0"/>
        <w:jc w:val="both"/>
        <w:rPr>
          <w:rFonts w:cs="Arial"/>
          <w:color w:val="000000" w:themeColor="text1"/>
          <w:sz w:val="22"/>
          <w:szCs w:val="22"/>
        </w:rPr>
      </w:pPr>
    </w:p>
    <w:p w14:paraId="6A91E310" w14:textId="161D4D3B" w:rsidR="00E75E0C" w:rsidRDefault="00031E79" w:rsidP="00636EE5">
      <w:pPr>
        <w:rPr>
          <w:rFonts w:cs="Arial"/>
          <w:sz w:val="22"/>
          <w:szCs w:val="22"/>
        </w:rPr>
      </w:pPr>
      <w:bookmarkStart w:id="106" w:name="_Hlk145596232"/>
      <w:r w:rsidRPr="00442D9E">
        <w:rPr>
          <w:rFonts w:cs="Arial"/>
          <w:sz w:val="22"/>
          <w:szCs w:val="22"/>
        </w:rPr>
        <w:t xml:space="preserve">Outcomes sought from this priority area include </w:t>
      </w:r>
      <w:r w:rsidR="00A54A39">
        <w:rPr>
          <w:rFonts w:cs="Arial"/>
          <w:sz w:val="22"/>
          <w:szCs w:val="22"/>
        </w:rPr>
        <w:t>the</w:t>
      </w:r>
      <w:r w:rsidRPr="00442D9E">
        <w:rPr>
          <w:rFonts w:cs="Arial"/>
          <w:sz w:val="22"/>
          <w:szCs w:val="22"/>
        </w:rPr>
        <w:t xml:space="preserve"> enhancement of vaccination and primary prevention efforts and access to quality STI and sexual health services for all when needed, thereby enabling the </w:t>
      </w:r>
      <w:r w:rsidRPr="004E7A51">
        <w:rPr>
          <w:rFonts w:cs="Arial"/>
          <w:sz w:val="22"/>
          <w:szCs w:val="22"/>
        </w:rPr>
        <w:t xml:space="preserve">achievement of Goal </w:t>
      </w:r>
      <w:r w:rsidR="001B7150" w:rsidRPr="004E7A51">
        <w:rPr>
          <w:rFonts w:cs="Arial"/>
          <w:sz w:val="22"/>
          <w:szCs w:val="22"/>
        </w:rPr>
        <w:t xml:space="preserve">1 </w:t>
      </w:r>
      <w:r w:rsidRPr="004E7A51">
        <w:rPr>
          <w:rFonts w:cs="Arial"/>
          <w:sz w:val="22"/>
          <w:szCs w:val="22"/>
        </w:rPr>
        <w:t>(reduce</w:t>
      </w:r>
      <w:r w:rsidRPr="00442D9E">
        <w:rPr>
          <w:rFonts w:cs="Arial"/>
          <w:sz w:val="22"/>
          <w:szCs w:val="22"/>
        </w:rPr>
        <w:t xml:space="preserve"> morbidity and complications from STI in Australia by scaling up evidence-based interventions) of this </w:t>
      </w:r>
      <w:r w:rsidR="001E5A2B">
        <w:rPr>
          <w:rFonts w:cs="Arial"/>
          <w:sz w:val="22"/>
          <w:szCs w:val="22"/>
        </w:rPr>
        <w:t>S</w:t>
      </w:r>
      <w:r w:rsidRPr="00442D9E">
        <w:rPr>
          <w:rFonts w:cs="Arial"/>
          <w:sz w:val="22"/>
          <w:szCs w:val="22"/>
        </w:rPr>
        <w:t xml:space="preserve">trategy. </w:t>
      </w:r>
    </w:p>
    <w:p w14:paraId="7EB61201" w14:textId="33356241" w:rsidR="002C5371" w:rsidRDefault="002C5371">
      <w:pPr>
        <w:rPr>
          <w:rFonts w:eastAsiaTheme="minorHAnsi" w:cstheme="minorBidi"/>
          <w:b/>
          <w:bCs/>
          <w:color w:val="36424A"/>
          <w:sz w:val="22"/>
          <w:szCs w:val="18"/>
          <w:lang w:val="en-NZ" w:eastAsia="en-US"/>
        </w:rPr>
      </w:pPr>
    </w:p>
    <w:p w14:paraId="6E39AA7C" w14:textId="64EB2598" w:rsidR="004E2A75" w:rsidRPr="0085184A" w:rsidRDefault="00515EF6" w:rsidP="0085184A">
      <w:pPr>
        <w:rPr>
          <w:rFonts w:eastAsiaTheme="minorHAnsi" w:cstheme="minorBidi"/>
          <w:b/>
          <w:bCs/>
          <w:color w:val="36424A"/>
          <w:sz w:val="22"/>
          <w:szCs w:val="18"/>
          <w:lang w:val="en-NZ" w:eastAsia="en-US"/>
        </w:rPr>
      </w:pPr>
      <w:r>
        <w:br w:type="page"/>
      </w:r>
    </w:p>
    <w:bookmarkEnd w:id="106"/>
    <w:p w14:paraId="27744727" w14:textId="3143681D" w:rsidR="00031E79" w:rsidRPr="00442D9E" w:rsidRDefault="00E94C86" w:rsidP="00175C6C">
      <w:pPr>
        <w:rPr>
          <w:rFonts w:cs="Arial"/>
        </w:rPr>
      </w:pPr>
      <w:r w:rsidRPr="00442D9E">
        <w:rPr>
          <w:rFonts w:cs="Arial"/>
          <w:noProof/>
        </w:rPr>
        <w:lastRenderedPageBreak/>
        <w:drawing>
          <wp:anchor distT="0" distB="0" distL="36195" distR="36195" simplePos="0" relativeHeight="251657249" behindDoc="1" locked="1" layoutInCell="1" allowOverlap="1" wp14:anchorId="475C4E1B" wp14:editId="5A7B5B92">
            <wp:simplePos x="0" y="0"/>
            <wp:positionH relativeFrom="margin">
              <wp:posOffset>-35560</wp:posOffset>
            </wp:positionH>
            <wp:positionV relativeFrom="page">
              <wp:posOffset>982980</wp:posOffset>
            </wp:positionV>
            <wp:extent cx="251460" cy="251460"/>
            <wp:effectExtent l="0" t="0" r="0" b="0"/>
            <wp:wrapTight wrapText="bothSides">
              <wp:wrapPolygon edited="0">
                <wp:start x="1636" y="0"/>
                <wp:lineTo x="0" y="11455"/>
                <wp:lineTo x="0" y="19636"/>
                <wp:lineTo x="3273" y="19636"/>
                <wp:lineTo x="16364" y="19636"/>
                <wp:lineTo x="19636" y="18000"/>
                <wp:lineTo x="19636" y="0"/>
                <wp:lineTo x="1636" y="0"/>
              </wp:wrapPolygon>
            </wp:wrapTight>
            <wp:docPr id="793447908" name="Graphic 793447908" descr="P91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47908" name="Graphic 793447908" descr="P919#y1">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p>
    <w:p w14:paraId="18A5FD6B" w14:textId="3981A7D6" w:rsidR="00031E79" w:rsidRPr="000427AA" w:rsidRDefault="00031E79" w:rsidP="00515EF6">
      <w:pPr>
        <w:pStyle w:val="Heading2"/>
        <w:numPr>
          <w:ilvl w:val="1"/>
          <w:numId w:val="7"/>
        </w:numPr>
        <w:rPr>
          <w:rFonts w:ascii="Arial" w:hAnsi="Arial" w:cs="Arial"/>
        </w:rPr>
      </w:pPr>
      <w:bookmarkStart w:id="107" w:name="_Toc146813405"/>
      <w:bookmarkStart w:id="108" w:name="_Toc150160967"/>
      <w:bookmarkStart w:id="109" w:name="_Toc163737193"/>
      <w:r w:rsidRPr="00442D9E">
        <w:rPr>
          <w:rFonts w:ascii="Arial" w:hAnsi="Arial" w:cs="Arial"/>
        </w:rPr>
        <w:t>Equity and Access</w:t>
      </w:r>
      <w:bookmarkEnd w:id="107"/>
      <w:bookmarkEnd w:id="108"/>
      <w:bookmarkEnd w:id="109"/>
      <w:r w:rsidR="00EA1B58" w:rsidRPr="00442D9E">
        <w:rPr>
          <w:rFonts w:ascii="Arial" w:hAnsi="Arial" w:cs="Arial"/>
        </w:rPr>
        <w:t xml:space="preserve">     </w:t>
      </w:r>
      <w:r w:rsidR="00EA1B58" w:rsidRPr="000427AA">
        <w:rPr>
          <w:rFonts w:ascii="Arial" w:hAnsi="Arial" w:cs="Arial"/>
        </w:rPr>
        <w:t xml:space="preserve">   </w:t>
      </w:r>
      <w:r w:rsidRPr="000427AA">
        <w:rPr>
          <w:rFonts w:ascii="Arial" w:hAnsi="Arial" w:cs="Arial"/>
          <w:shd w:val="clear" w:color="auto" w:fill="FFFFFF"/>
        </w:rPr>
        <w:t xml:space="preserve"> </w:t>
      </w:r>
    </w:p>
    <w:p w14:paraId="61EDC983" w14:textId="77777777" w:rsidR="00B969CF" w:rsidRDefault="00B969CF" w:rsidP="00522C41">
      <w:pPr>
        <w:pStyle w:val="BodyText"/>
        <w:spacing w:after="0"/>
        <w:jc w:val="both"/>
        <w:rPr>
          <w:rFonts w:cs="Arial"/>
          <w:color w:val="000000" w:themeColor="text1"/>
          <w:sz w:val="22"/>
          <w:szCs w:val="22"/>
        </w:rPr>
      </w:pPr>
    </w:p>
    <w:p w14:paraId="32F7A3D9" w14:textId="503D269B"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 xml:space="preserve">Ensuring inclusion and addressing stigma within healthcare settings promotes access to timely and appropriate services and supports a health-enabling environment. This environment must be supported by enabling legal and policy frameworks that </w:t>
      </w:r>
      <w:r w:rsidR="00DE63A8">
        <w:rPr>
          <w:rFonts w:cs="Arial"/>
          <w:color w:val="000000" w:themeColor="text1"/>
          <w:sz w:val="22"/>
          <w:szCs w:val="22"/>
        </w:rPr>
        <w:t>support</w:t>
      </w:r>
      <w:r w:rsidR="00DE63A8" w:rsidRPr="00442D9E">
        <w:rPr>
          <w:rFonts w:cs="Arial"/>
          <w:color w:val="000000" w:themeColor="text1"/>
          <w:sz w:val="22"/>
          <w:szCs w:val="22"/>
        </w:rPr>
        <w:t xml:space="preserve"> </w:t>
      </w:r>
      <w:r w:rsidRPr="00442D9E">
        <w:rPr>
          <w:rFonts w:cs="Arial"/>
          <w:color w:val="000000" w:themeColor="text1"/>
          <w:sz w:val="22"/>
          <w:szCs w:val="22"/>
        </w:rPr>
        <w:t>individuals to seek out healthcare, take preventative measures, and seek support when they experience stigma and discrimination. Healthcare settings are comprised of, and maintained by, people with diverse identities, values, cultures, beliefs</w:t>
      </w:r>
      <w:r w:rsidR="00A333E9">
        <w:rPr>
          <w:rFonts w:cs="Arial"/>
          <w:color w:val="000000" w:themeColor="text1"/>
          <w:sz w:val="22"/>
          <w:szCs w:val="22"/>
        </w:rPr>
        <w:t>,</w:t>
      </w:r>
      <w:r w:rsidRPr="00442D9E">
        <w:rPr>
          <w:rFonts w:cs="Arial"/>
          <w:color w:val="000000" w:themeColor="text1"/>
          <w:sz w:val="22"/>
          <w:szCs w:val="22"/>
        </w:rPr>
        <w:t xml:space="preserve"> and prejudices. These settings are a microcosm of broader community and social values. Ideally, ensuring inclusion and addressing stigma within healthcare settings will be mirrored and reinforced by reduced stigma and a generally more inclusive society.</w:t>
      </w:r>
    </w:p>
    <w:p w14:paraId="0B1847FB" w14:textId="77777777" w:rsidR="00031E79" w:rsidRPr="00442D9E" w:rsidRDefault="00031E79" w:rsidP="00522C41">
      <w:pPr>
        <w:pStyle w:val="BodyText"/>
        <w:spacing w:after="0"/>
        <w:jc w:val="both"/>
        <w:rPr>
          <w:rFonts w:cs="Arial"/>
          <w:color w:val="000000" w:themeColor="text1"/>
          <w:sz w:val="22"/>
          <w:szCs w:val="22"/>
        </w:rPr>
      </w:pPr>
    </w:p>
    <w:p w14:paraId="3D8E2A46" w14:textId="366A58CF"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Stigma has long accompanied STI, primarily due to the association with sexuality and negatively perceived behaviours. The expression, experiences and anticipation of stigma and discrimination impact prevention and control efforts, as well as the health and quality of life of individuals.</w:t>
      </w:r>
      <w:r w:rsidR="008B43F1">
        <w:rPr>
          <w:rFonts w:ascii="ZWAdobeF" w:hAnsi="ZWAdobeF" w:cs="ZWAdobeF"/>
          <w:sz w:val="2"/>
          <w:szCs w:val="2"/>
        </w:rPr>
        <w:t>118F</w:t>
      </w:r>
      <w:r w:rsidRPr="00442D9E">
        <w:rPr>
          <w:rStyle w:val="EndnoteReference"/>
          <w:rFonts w:cs="Arial"/>
          <w:color w:val="000000" w:themeColor="text1"/>
          <w:sz w:val="22"/>
          <w:szCs w:val="22"/>
        </w:rPr>
        <w:endnoteReference w:id="118"/>
      </w:r>
      <w:r w:rsidRPr="00442D9E" w:rsidDel="00635B72">
        <w:rPr>
          <w:rFonts w:cs="Arial"/>
          <w:color w:val="000000" w:themeColor="text1"/>
          <w:sz w:val="22"/>
          <w:szCs w:val="22"/>
        </w:rPr>
        <w:t xml:space="preserve"> </w:t>
      </w:r>
      <w:r w:rsidRPr="00442D9E">
        <w:rPr>
          <w:rFonts w:cs="Arial"/>
          <w:color w:val="000000" w:themeColor="text1"/>
          <w:sz w:val="22"/>
          <w:szCs w:val="22"/>
        </w:rPr>
        <w:t>Stigma creates barriers to openly discussing sexual behaviours and possible exposure to STI, requesting</w:t>
      </w:r>
      <w:r w:rsidR="002F6637">
        <w:rPr>
          <w:rFonts w:cs="Arial"/>
          <w:color w:val="000000" w:themeColor="text1"/>
          <w:sz w:val="22"/>
          <w:szCs w:val="22"/>
        </w:rPr>
        <w:t>,</w:t>
      </w:r>
      <w:r w:rsidRPr="00442D9E">
        <w:rPr>
          <w:rFonts w:cs="Arial"/>
          <w:color w:val="000000" w:themeColor="text1"/>
          <w:sz w:val="22"/>
          <w:szCs w:val="22"/>
        </w:rPr>
        <w:t xml:space="preserve"> or being offered a test, taking medication, notifying sexual partners, and seeking support from family, friends</w:t>
      </w:r>
      <w:r w:rsidR="002F6637">
        <w:rPr>
          <w:rFonts w:cs="Arial"/>
          <w:color w:val="000000" w:themeColor="text1"/>
          <w:sz w:val="22"/>
          <w:szCs w:val="22"/>
        </w:rPr>
        <w:t>,</w:t>
      </w:r>
      <w:r w:rsidRPr="00442D9E">
        <w:rPr>
          <w:rFonts w:cs="Arial"/>
          <w:color w:val="000000" w:themeColor="text1"/>
          <w:sz w:val="22"/>
          <w:szCs w:val="22"/>
        </w:rPr>
        <w:t xml:space="preserve"> and healthcare providers. Stigma can increase the harm caused by STI for the individuals affected and increase missed opportunities to prevent or reduce transmission of STI.</w:t>
      </w:r>
      <w:r w:rsidR="008B43F1">
        <w:rPr>
          <w:rFonts w:ascii="ZWAdobeF" w:hAnsi="ZWAdobeF" w:cs="ZWAdobeF"/>
          <w:sz w:val="2"/>
          <w:szCs w:val="2"/>
        </w:rPr>
        <w:t>119F</w:t>
      </w:r>
      <w:r w:rsidRPr="00442D9E">
        <w:rPr>
          <w:rStyle w:val="EndnoteReference"/>
          <w:rFonts w:cs="Arial"/>
          <w:color w:val="000000" w:themeColor="text1"/>
          <w:sz w:val="22"/>
          <w:szCs w:val="22"/>
        </w:rPr>
        <w:endnoteReference w:id="119"/>
      </w:r>
      <w:r w:rsidRPr="00442D9E">
        <w:rPr>
          <w:rFonts w:cs="Arial"/>
          <w:color w:val="000000" w:themeColor="text1"/>
          <w:sz w:val="22"/>
          <w:szCs w:val="22"/>
        </w:rPr>
        <w:t xml:space="preserve"> </w:t>
      </w:r>
    </w:p>
    <w:p w14:paraId="11F8865A" w14:textId="08C4C78D" w:rsidR="00031E79" w:rsidRPr="00442D9E" w:rsidRDefault="00031E79" w:rsidP="00522C41">
      <w:pPr>
        <w:pStyle w:val="BodyText"/>
        <w:spacing w:after="0"/>
        <w:jc w:val="both"/>
        <w:rPr>
          <w:rFonts w:cs="Arial"/>
          <w:color w:val="000000" w:themeColor="text1"/>
          <w:sz w:val="22"/>
          <w:szCs w:val="22"/>
        </w:rPr>
      </w:pPr>
    </w:p>
    <w:p w14:paraId="0646EE6F" w14:textId="4B0994AF" w:rsidR="00031E79" w:rsidRPr="00442D9E" w:rsidRDefault="2A18D9C9" w:rsidP="00522C41">
      <w:pPr>
        <w:pStyle w:val="BodyText"/>
        <w:spacing w:after="0"/>
        <w:jc w:val="both"/>
        <w:rPr>
          <w:rFonts w:cs="Arial"/>
          <w:color w:val="000000" w:themeColor="text1"/>
          <w:sz w:val="22"/>
          <w:szCs w:val="22"/>
        </w:rPr>
      </w:pPr>
      <w:r w:rsidRPr="06DE5C08">
        <w:rPr>
          <w:rFonts w:cs="Arial"/>
          <w:color w:val="000000" w:themeColor="text1"/>
          <w:sz w:val="22"/>
          <w:szCs w:val="22"/>
        </w:rPr>
        <w:t>Experiences of stigma relating to STI are influenced by intersecting characteristics of identity, community</w:t>
      </w:r>
      <w:r w:rsidR="01332EEA" w:rsidRPr="06DE5C08">
        <w:rPr>
          <w:rFonts w:cs="Arial"/>
          <w:color w:val="000000" w:themeColor="text1"/>
          <w:sz w:val="22"/>
          <w:szCs w:val="22"/>
        </w:rPr>
        <w:t>,</w:t>
      </w:r>
      <w:r w:rsidRPr="06DE5C08">
        <w:rPr>
          <w:rFonts w:cs="Arial"/>
          <w:color w:val="000000" w:themeColor="text1"/>
          <w:sz w:val="22"/>
          <w:szCs w:val="22"/>
        </w:rPr>
        <w:t xml:space="preserve"> and culture. This includes sexual orientation, gender and gender identity, cultural background, migrant or refugee status, HIV status, disability, history of substance </w:t>
      </w:r>
      <w:bookmarkStart w:id="110" w:name="_Int_2WvbMhZl"/>
      <w:r w:rsidRPr="06DE5C08">
        <w:rPr>
          <w:rFonts w:cs="Arial"/>
          <w:color w:val="000000" w:themeColor="text1"/>
          <w:sz w:val="22"/>
          <w:szCs w:val="22"/>
        </w:rPr>
        <w:t>use</w:t>
      </w:r>
      <w:bookmarkEnd w:id="110"/>
      <w:r w:rsidRPr="06DE5C08">
        <w:rPr>
          <w:rFonts w:cs="Arial"/>
          <w:color w:val="000000" w:themeColor="text1"/>
          <w:sz w:val="22"/>
          <w:szCs w:val="22"/>
        </w:rPr>
        <w:t xml:space="preserve"> or misuse, and being a sex worker or person in a custodial setting. Strategies to address stigma and discrimination must acknowledge and account for this complexity as </w:t>
      </w:r>
      <w:r w:rsidR="01332EEA" w:rsidRPr="06DE5C08">
        <w:rPr>
          <w:rFonts w:cs="Arial"/>
          <w:color w:val="000000" w:themeColor="text1"/>
          <w:sz w:val="22"/>
          <w:szCs w:val="22"/>
        </w:rPr>
        <w:t>these</w:t>
      </w:r>
      <w:r w:rsidRPr="06DE5C08">
        <w:rPr>
          <w:rStyle w:val="Hyperlink3"/>
          <w:rFonts w:ascii="Arial" w:hAnsi="Arial" w:cs="Arial"/>
          <w:color w:val="000000" w:themeColor="text1"/>
        </w:rPr>
        <w:t xml:space="preserve"> experiences may compound STI stigma, resulting in poorer health outcomes for these individuals and communities.</w:t>
      </w:r>
    </w:p>
    <w:p w14:paraId="50D641D2" w14:textId="1E3859E8" w:rsidR="00031E79" w:rsidRPr="00442D9E" w:rsidRDefault="00031E79" w:rsidP="00522C41">
      <w:pPr>
        <w:pStyle w:val="BodyText"/>
        <w:spacing w:after="0"/>
        <w:jc w:val="both"/>
        <w:rPr>
          <w:rFonts w:cs="Arial"/>
          <w:color w:val="000000" w:themeColor="text1"/>
          <w:sz w:val="22"/>
          <w:szCs w:val="22"/>
        </w:rPr>
      </w:pPr>
    </w:p>
    <w:p w14:paraId="70CCA05D" w14:textId="28DDBD1D" w:rsidR="00031E79" w:rsidRPr="00442D9E" w:rsidRDefault="00031E79" w:rsidP="00AF096D">
      <w:pPr>
        <w:jc w:val="both"/>
        <w:rPr>
          <w:rFonts w:cs="Arial"/>
          <w:color w:val="505050"/>
          <w:sz w:val="27"/>
          <w:szCs w:val="27"/>
        </w:rPr>
      </w:pPr>
      <w:r w:rsidRPr="00442D9E">
        <w:rPr>
          <w:rFonts w:cs="Arial"/>
          <w:color w:val="000000" w:themeColor="text1"/>
          <w:sz w:val="22"/>
          <w:szCs w:val="22"/>
        </w:rPr>
        <w:t>The enjoyment of the highest attainable standard of health is one of the fundamental rights of every human being without distinction.</w:t>
      </w:r>
      <w:r w:rsidR="008B43F1">
        <w:rPr>
          <w:rFonts w:ascii="ZWAdobeF" w:hAnsi="ZWAdobeF" w:cs="ZWAdobeF"/>
          <w:sz w:val="2"/>
          <w:szCs w:val="2"/>
        </w:rPr>
        <w:t>120F</w:t>
      </w:r>
      <w:r w:rsidRPr="00442D9E">
        <w:rPr>
          <w:rStyle w:val="EndnoteReference"/>
          <w:rFonts w:cs="Arial"/>
          <w:color w:val="000000" w:themeColor="text1"/>
          <w:sz w:val="22"/>
          <w:szCs w:val="22"/>
        </w:rPr>
        <w:endnoteReference w:id="120"/>
      </w:r>
      <w:r w:rsidRPr="00442D9E">
        <w:rPr>
          <w:rFonts w:cs="Arial"/>
          <w:color w:val="000000" w:themeColor="text1"/>
          <w:sz w:val="22"/>
          <w:szCs w:val="22"/>
        </w:rPr>
        <w:t xml:space="preserve"> The type of service accessed or whether it is accessed at all depends on several factors, including proximity, availability of the service, cost, legal environment, affordability</w:t>
      </w:r>
      <w:r w:rsidR="002F6637">
        <w:rPr>
          <w:rFonts w:cs="Arial"/>
          <w:color w:val="000000" w:themeColor="text1"/>
          <w:sz w:val="22"/>
          <w:szCs w:val="22"/>
        </w:rPr>
        <w:t>,</w:t>
      </w:r>
      <w:r w:rsidRPr="00442D9E">
        <w:rPr>
          <w:rFonts w:cs="Arial"/>
          <w:color w:val="000000" w:themeColor="text1"/>
          <w:sz w:val="22"/>
          <w:szCs w:val="22"/>
        </w:rPr>
        <w:t xml:space="preserve"> and an individual’s comfort in accessing the service.</w:t>
      </w:r>
    </w:p>
    <w:p w14:paraId="3FDD2226" w14:textId="77777777" w:rsidR="00031E79" w:rsidRPr="00442D9E" w:rsidRDefault="00031E79" w:rsidP="00522C41">
      <w:pPr>
        <w:pStyle w:val="BodyText"/>
        <w:spacing w:after="0"/>
        <w:jc w:val="both"/>
        <w:rPr>
          <w:rFonts w:cs="Arial"/>
          <w:color w:val="000000" w:themeColor="text1"/>
          <w:sz w:val="22"/>
          <w:szCs w:val="22"/>
        </w:rPr>
      </w:pPr>
    </w:p>
    <w:p w14:paraId="0B8F0BDC" w14:textId="153E22B8" w:rsidR="00BD0DB5" w:rsidRPr="00442D9E" w:rsidRDefault="00E135E6" w:rsidP="00522C41">
      <w:pPr>
        <w:pStyle w:val="BodyText"/>
        <w:jc w:val="both"/>
        <w:rPr>
          <w:rFonts w:cs="Arial"/>
          <w:color w:val="000000" w:themeColor="text1"/>
          <w:sz w:val="22"/>
          <w:szCs w:val="22"/>
        </w:rPr>
      </w:pPr>
      <w:r w:rsidRPr="00B4151B">
        <w:rPr>
          <w:rFonts w:cs="Arial"/>
          <w:noProof/>
          <w:color w:val="000000" w:themeColor="text1"/>
          <w:sz w:val="22"/>
          <w:szCs w:val="22"/>
        </w:rPr>
        <mc:AlternateContent>
          <mc:Choice Requires="wps">
            <w:drawing>
              <wp:inline distT="0" distB="0" distL="0" distR="0" wp14:anchorId="0BC69828" wp14:editId="6D33ACF6">
                <wp:extent cx="6106601" cy="1404620"/>
                <wp:effectExtent l="19050" t="19050" r="27940" b="27940"/>
                <wp:docPr id="1374763303" name="Text Box 1374763303" descr="P930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601" cy="1404620"/>
                        </a:xfrm>
                        <a:prstGeom prst="rect">
                          <a:avLst/>
                        </a:prstGeom>
                        <a:solidFill>
                          <a:schemeClr val="accent2">
                            <a:lumMod val="20000"/>
                            <a:lumOff val="80000"/>
                            <a:alpha val="75000"/>
                          </a:schemeClr>
                        </a:solidFill>
                        <a:ln w="28575">
                          <a:solidFill>
                            <a:srgbClr val="FE9648">
                              <a:alpha val="74902"/>
                            </a:srgbClr>
                          </a:solidFill>
                          <a:miter lim="800000"/>
                          <a:headEnd/>
                          <a:tailEnd/>
                        </a:ln>
                      </wps:spPr>
                      <wps:txbx>
                        <w:txbxContent>
                          <w:p w14:paraId="2BFE45EF"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09C371DF" w14:textId="612AB1C1" w:rsidR="00894F38" w:rsidRPr="003B2996" w:rsidRDefault="00894F38" w:rsidP="003B2996">
                            <w:pPr>
                              <w:spacing w:after="120"/>
                            </w:pPr>
                            <w:r w:rsidRPr="00E135E6">
                              <w:t xml:space="preserve">A case study on a service for people who are trans and gender diverse in Sydney, New South Wales, illustrates successful initiatives to improve equity and access. t150, part of the Albion Centre in Surrey Hills, Sydney is Australia’s first publicly funded trans-specific sexual health and HIV service, providing free gender-affirming care alongside specialist sexual health and HIV care, testing and prevention.  Established in 2018, staffed by clinicians and a community peer, t150 works to improve the community’s access to services and healthcare engagement through providing a safe, dedicated clinical space. More than 50% of clients come from culturally and linguistically diverse populations, and 10% represent </w:t>
                            </w:r>
                            <w:r w:rsidR="009E5590" w:rsidRPr="009E5590">
                              <w:t>Aboriginal and Torres Strait Islander</w:t>
                            </w:r>
                            <w:r w:rsidR="00844923">
                              <w:t xml:space="preserve"> </w:t>
                            </w:r>
                            <w:r w:rsidRPr="00E135E6">
                              <w:t xml:space="preserve">people. Word of mouth referrals from the community are higher than predicted, with the waiting list the service’s current biggest challenge. For more detail on this case study, including advice for people wishing to establish a trans-affirming sexual health service, see </w:t>
                            </w:r>
                            <w:hyperlink w:anchor="_Appendix_A:_CASE" w:history="1">
                              <w:r w:rsidRPr="00E135E6">
                                <w:rPr>
                                  <w:rStyle w:val="Hyperlink"/>
                                </w:rPr>
                                <w:t>Appendix A</w:t>
                              </w:r>
                            </w:hyperlink>
                            <w:r w:rsidRPr="00E135E6">
                              <w:t>.</w:t>
                            </w:r>
                          </w:p>
                        </w:txbxContent>
                      </wps:txbx>
                      <wps:bodyPr rot="0" vert="horz" wrap="square" lIns="144000" tIns="144000" rIns="144000" bIns="144000" anchor="t" anchorCtr="0">
                        <a:spAutoFit/>
                      </wps:bodyPr>
                    </wps:wsp>
                  </a:graphicData>
                </a:graphic>
              </wp:inline>
            </w:drawing>
          </mc:Choice>
          <mc:Fallback>
            <w:pict>
              <v:shape w14:anchorId="0BC69828" id="Text Box 1374763303" o:spid="_x0000_s1041" type="#_x0000_t202" alt="P930TB16#y1" style="width:480.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" fillcolor="#fbe4d5 [661]" strokecolor="#fe9648" strokeweight="2.25pt">
                <v:fill opacity="49087f"/>
                <v:stroke opacity="49087f"/>
                <v:textbox style="mso-fit-shape-to-text:t" inset="4mm,4mm,4mm,4mm">
                  <w:txbxContent>
                    <w:p w14:paraId="2BFE45EF" w14:textId="77777777" w:rsidR="00894F38" w:rsidRPr="00C01956" w:rsidRDefault="00894F38" w:rsidP="003B2996">
                      <w:pPr>
                        <w:pBdr>
                          <w:bottom w:val="single" w:sz="8" w:space="6" w:color="7F7F7F" w:themeColor="text1" w:themeTint="80"/>
                        </w:pBdr>
                        <w:spacing w:after="200"/>
                        <w:rPr>
                          <w:b/>
                          <w:bCs/>
                        </w:rPr>
                      </w:pPr>
                      <w:r w:rsidRPr="00C01956">
                        <w:rPr>
                          <w:b/>
                          <w:bCs/>
                        </w:rPr>
                        <w:t>Practical examples</w:t>
                      </w:r>
                    </w:p>
                    <w:p w14:paraId="09C371DF" w14:textId="612AB1C1" w:rsidR="00894F38" w:rsidRPr="003B2996" w:rsidRDefault="00894F38" w:rsidP="003B2996">
                      <w:pPr>
                        <w:spacing w:after="120"/>
                      </w:pPr>
                      <w:r w:rsidRPr="00E135E6">
                        <w:t xml:space="preserve">A case study on a service for people who are trans and gender diverse in Sydney, New South Wales, illustrates successful initiatives to improve equity and access. t150, part of the Albion Centre in Surrey Hills, Sydney is Australia’s first publicly funded trans-specific sexual health and HIV service, providing free gender-affirming care alongside specialist sexual health and HIV care, testing and prevention.  Established in 2018, staffed by clinicians and a community peer, t150 works to improve the community’s access to services and healthcare engagement through providing a safe, dedicated clinical space. More than 50% of clients come from culturally and linguistically diverse populations, and 10% represent </w:t>
                      </w:r>
                      <w:r w:rsidR="009E5590" w:rsidRPr="009E5590">
                        <w:t>Aboriginal and Torres Strait Islander</w:t>
                      </w:r>
                      <w:r w:rsidR="00844923">
                        <w:t xml:space="preserve"> </w:t>
                      </w:r>
                      <w:r w:rsidRPr="00E135E6">
                        <w:t xml:space="preserve">people. Word of mouth referrals from the community are higher than predicted, with the waiting list the service’s current biggest challenge. For more detail on this case study, including advice for people wishing to establish a trans-affirming sexual health service, see </w:t>
                      </w:r>
                      <w:hyperlink w:anchor="_Appendix_A:_CASE" w:history="1">
                        <w:r w:rsidRPr="00E135E6">
                          <w:rPr>
                            <w:rStyle w:val="Hyperlink"/>
                          </w:rPr>
                          <w:t>Appendix A</w:t>
                        </w:r>
                      </w:hyperlink>
                      <w:r w:rsidRPr="00E135E6">
                        <w:t>.</w:t>
                      </w:r>
                    </w:p>
                  </w:txbxContent>
                </v:textbox>
                <w10:anchorlock/>
              </v:shape>
            </w:pict>
          </mc:Fallback>
        </mc:AlternateContent>
      </w:r>
    </w:p>
    <w:p w14:paraId="0644CCFF" w14:textId="77777777" w:rsidR="00C15627" w:rsidRDefault="00C15627" w:rsidP="00DA47DA">
      <w:pPr>
        <w:pStyle w:val="Caption"/>
      </w:pPr>
    </w:p>
    <w:p w14:paraId="44C88068" w14:textId="17B5FE06" w:rsidR="0085184A" w:rsidRDefault="0085184A" w:rsidP="0085184A">
      <w:pPr>
        <w:pStyle w:val="Caption"/>
      </w:pPr>
    </w:p>
    <w:p w14:paraId="6F008FAB" w14:textId="77777777" w:rsidR="0085184A" w:rsidRPr="0085184A" w:rsidRDefault="0085184A" w:rsidP="0085184A">
      <w:pPr>
        <w:pStyle w:val="BodyText"/>
        <w:rPr>
          <w:lang w:val="en-NZ" w:eastAsia="en-US"/>
        </w:rPr>
      </w:pPr>
    </w:p>
    <w:p w14:paraId="2371A157" w14:textId="2FCFACD7" w:rsidR="00DA47DA" w:rsidRPr="00442D9E" w:rsidRDefault="00DA47DA" w:rsidP="00DA47DA">
      <w:pPr>
        <w:pStyle w:val="Caption"/>
        <w:rPr>
          <w:rFonts w:cs="Arial"/>
          <w:b w:val="0"/>
          <w:color w:val="000000" w:themeColor="text1"/>
          <w:szCs w:val="22"/>
          <w:lang w:val="en-AU"/>
        </w:rPr>
      </w:pPr>
      <w:r>
        <w:lastRenderedPageBreak/>
        <w:t xml:space="preserve">Table </w:t>
      </w:r>
      <w:r>
        <w:fldChar w:fldCharType="begin"/>
      </w:r>
      <w:r>
        <w:instrText xml:space="preserve"> SEQ Table \* ARABIC </w:instrText>
      </w:r>
      <w:r>
        <w:fldChar w:fldCharType="separate"/>
      </w:r>
      <w:r w:rsidR="00853142">
        <w:rPr>
          <w:noProof/>
        </w:rPr>
        <w:t>7</w:t>
      </w:r>
      <w:r>
        <w:fldChar w:fldCharType="end"/>
      </w:r>
      <w:r>
        <w:t>: Key areas for action - Equity and Access</w:t>
      </w:r>
    </w:p>
    <w:tbl>
      <w:tblPr>
        <w:tblW w:w="0" w:type="auto"/>
        <w:tblInd w:w="-180" w:type="dxa"/>
        <w:tblBorders>
          <w:top w:val="single" w:sz="8" w:space="0" w:color="F7941D"/>
          <w:left w:val="single" w:sz="8" w:space="0" w:color="F7941D"/>
          <w:bottom w:val="single" w:sz="8" w:space="0" w:color="F7941D"/>
          <w:right w:val="single" w:sz="8" w:space="0" w:color="F7941D"/>
          <w:insideH w:val="single" w:sz="8" w:space="0" w:color="F7941D"/>
          <w:insideV w:val="single" w:sz="8" w:space="0" w:color="F7941D"/>
        </w:tblBorders>
        <w:tblLayout w:type="fixed"/>
        <w:tblCellMar>
          <w:left w:w="170" w:type="dxa"/>
          <w:right w:w="170" w:type="dxa"/>
        </w:tblCellMar>
        <w:tblLook w:val="0000" w:firstRow="0" w:lastRow="0" w:firstColumn="0" w:lastColumn="0" w:noHBand="0" w:noVBand="0"/>
      </w:tblPr>
      <w:tblGrid>
        <w:gridCol w:w="983"/>
        <w:gridCol w:w="8629"/>
      </w:tblGrid>
      <w:tr w:rsidR="009947CA" w14:paraId="687D706F" w14:textId="77777777" w:rsidTr="0AD8DA66">
        <w:tc>
          <w:tcPr>
            <w:tcW w:w="9612" w:type="dxa"/>
            <w:gridSpan w:val="2"/>
            <w:shd w:val="clear" w:color="auto" w:fill="FE9648"/>
          </w:tcPr>
          <w:p w14:paraId="233FFA98" w14:textId="14FB98E0" w:rsidR="009947CA" w:rsidRPr="00952A93" w:rsidRDefault="009947CA">
            <w:pPr>
              <w:pStyle w:val="BodyText"/>
              <w:spacing w:before="120"/>
              <w:jc w:val="both"/>
              <w:rPr>
                <w:rFonts w:cs="Arial"/>
                <w:b/>
                <w:bCs/>
                <w:color w:val="000000"/>
                <w:sz w:val="22"/>
                <w:szCs w:val="22"/>
              </w:rPr>
            </w:pPr>
            <w:r w:rsidRPr="00952A93">
              <w:rPr>
                <w:rFonts w:cs="Arial"/>
                <w:b/>
                <w:bCs/>
                <w:color w:val="000000"/>
                <w:sz w:val="22"/>
                <w:szCs w:val="22"/>
              </w:rPr>
              <w:t xml:space="preserve">KEY AREAS FOR ACTION – </w:t>
            </w:r>
            <w:r w:rsidRPr="009947CA">
              <w:rPr>
                <w:rFonts w:cs="Arial"/>
                <w:b/>
                <w:bCs/>
                <w:color w:val="000000"/>
                <w:sz w:val="22"/>
                <w:szCs w:val="22"/>
              </w:rPr>
              <w:t>Equity and Access</w:t>
            </w:r>
          </w:p>
        </w:tc>
      </w:tr>
      <w:tr w:rsidR="001968C9" w14:paraId="7AC7C3DF" w14:textId="77777777" w:rsidTr="0AD8DA66">
        <w:tc>
          <w:tcPr>
            <w:tcW w:w="983" w:type="dxa"/>
            <w:tcBorders>
              <w:right w:val="nil"/>
            </w:tcBorders>
          </w:tcPr>
          <w:p w14:paraId="45F10347" w14:textId="131A692B" w:rsidR="001968C9" w:rsidRPr="00771B0D" w:rsidRDefault="002F3E68" w:rsidP="001968C9">
            <w:pPr>
              <w:pStyle w:val="BodyText"/>
              <w:spacing w:before="120"/>
              <w:jc w:val="center"/>
              <w:rPr>
                <w:rFonts w:cs="Arial"/>
                <w:b/>
                <w:bCs/>
                <w:color w:val="F7941D"/>
                <w:sz w:val="56"/>
                <w:szCs w:val="56"/>
              </w:rPr>
            </w:pPr>
            <w:r>
              <w:rPr>
                <w:rFonts w:cs="Arial"/>
                <w:b/>
                <w:bCs/>
                <w:color w:val="F7941D"/>
                <w:sz w:val="56"/>
                <w:szCs w:val="56"/>
              </w:rPr>
              <w:t>20</w:t>
            </w:r>
          </w:p>
        </w:tc>
        <w:tc>
          <w:tcPr>
            <w:tcW w:w="8629" w:type="dxa"/>
            <w:tcBorders>
              <w:left w:val="nil"/>
            </w:tcBorders>
          </w:tcPr>
          <w:p w14:paraId="13F00A4C" w14:textId="0352142C" w:rsidR="001968C9" w:rsidRPr="001968C9" w:rsidRDefault="001968C9" w:rsidP="001968C9">
            <w:pPr>
              <w:pStyle w:val="BodyText"/>
              <w:spacing w:before="120"/>
              <w:rPr>
                <w:rFonts w:cs="Arial"/>
                <w:b/>
                <w:bCs/>
                <w:color w:val="000000" w:themeColor="text1"/>
                <w:sz w:val="22"/>
                <w:szCs w:val="22"/>
              </w:rPr>
            </w:pPr>
            <w:r w:rsidRPr="001968C9">
              <w:rPr>
                <w:rFonts w:cs="Arial"/>
                <w:sz w:val="22"/>
                <w:szCs w:val="22"/>
              </w:rPr>
              <w:t>Ensure that STI education, prevention, testing</w:t>
            </w:r>
            <w:r w:rsidR="00044100">
              <w:rPr>
                <w:rFonts w:cs="Arial"/>
                <w:sz w:val="22"/>
                <w:szCs w:val="22"/>
              </w:rPr>
              <w:t>,</w:t>
            </w:r>
            <w:r w:rsidRPr="001968C9">
              <w:rPr>
                <w:rFonts w:cs="Arial"/>
                <w:sz w:val="22"/>
                <w:szCs w:val="22"/>
              </w:rPr>
              <w:t xml:space="preserve"> and treatment initiatives support efforts to counteract STI-related stigma.</w:t>
            </w:r>
            <w:r w:rsidR="00C73C34" w:rsidRPr="001968C9">
              <w:rPr>
                <w:rFonts w:cs="Arial"/>
                <w:sz w:val="22"/>
                <w:szCs w:val="22"/>
              </w:rPr>
              <w:t xml:space="preserve"> </w:t>
            </w:r>
            <w:r w:rsidR="00AD46D1">
              <w:rPr>
                <w:rFonts w:cs="Arial"/>
                <w:sz w:val="22"/>
                <w:szCs w:val="22"/>
              </w:rPr>
              <w:t>This includes e</w:t>
            </w:r>
            <w:r w:rsidR="00C73C34" w:rsidRPr="001968C9">
              <w:rPr>
                <w:rFonts w:cs="Arial"/>
                <w:sz w:val="22"/>
                <w:szCs w:val="22"/>
              </w:rPr>
              <w:t>stablish</w:t>
            </w:r>
            <w:r w:rsidR="00AD46D1">
              <w:rPr>
                <w:rFonts w:cs="Arial"/>
                <w:sz w:val="22"/>
                <w:szCs w:val="22"/>
              </w:rPr>
              <w:t>ing</w:t>
            </w:r>
            <w:r w:rsidR="00C73C34" w:rsidRPr="001968C9">
              <w:rPr>
                <w:rFonts w:cs="Arial"/>
                <w:sz w:val="22"/>
                <w:szCs w:val="22"/>
              </w:rPr>
              <w:t xml:space="preserve"> policies and practices for diversity and inclusion in clinical services that support the provision of stigma-free STI and sexual and reproductive health services. </w:t>
            </w:r>
          </w:p>
        </w:tc>
      </w:tr>
      <w:tr w:rsidR="001968C9" w14:paraId="34C1E5F8" w14:textId="77777777" w:rsidTr="0AD8DA66">
        <w:tc>
          <w:tcPr>
            <w:tcW w:w="983" w:type="dxa"/>
            <w:tcBorders>
              <w:right w:val="nil"/>
            </w:tcBorders>
          </w:tcPr>
          <w:p w14:paraId="5CB2400A" w14:textId="45E7FE9A" w:rsidR="001968C9" w:rsidRPr="00771B0D" w:rsidRDefault="00AB499E" w:rsidP="003951BD">
            <w:pPr>
              <w:pStyle w:val="BodyText"/>
              <w:spacing w:before="120"/>
              <w:rPr>
                <w:rFonts w:cs="Arial"/>
                <w:b/>
                <w:bCs/>
                <w:color w:val="F7941D"/>
                <w:sz w:val="56"/>
                <w:szCs w:val="56"/>
              </w:rPr>
            </w:pPr>
            <w:r>
              <w:rPr>
                <w:rFonts w:cs="Arial"/>
                <w:b/>
                <w:bCs/>
                <w:color w:val="F7941D"/>
                <w:sz w:val="56"/>
                <w:szCs w:val="56"/>
              </w:rPr>
              <w:t>2</w:t>
            </w:r>
            <w:r w:rsidR="002F3E68">
              <w:rPr>
                <w:rFonts w:cs="Arial"/>
                <w:b/>
                <w:bCs/>
                <w:color w:val="F7941D"/>
                <w:sz w:val="56"/>
                <w:szCs w:val="56"/>
              </w:rPr>
              <w:t>1</w:t>
            </w:r>
          </w:p>
        </w:tc>
        <w:tc>
          <w:tcPr>
            <w:tcW w:w="8629" w:type="dxa"/>
            <w:tcBorders>
              <w:left w:val="nil"/>
            </w:tcBorders>
          </w:tcPr>
          <w:p w14:paraId="3D4FAD8E" w14:textId="12A70756" w:rsidR="001968C9" w:rsidRPr="001968C9" w:rsidRDefault="001968C9" w:rsidP="001968C9">
            <w:pPr>
              <w:pStyle w:val="BodyText"/>
              <w:spacing w:before="120"/>
              <w:rPr>
                <w:rFonts w:cs="Arial"/>
                <w:color w:val="000000" w:themeColor="text1"/>
                <w:sz w:val="22"/>
                <w:szCs w:val="22"/>
              </w:rPr>
            </w:pPr>
            <w:r w:rsidRPr="001968C9">
              <w:rPr>
                <w:rFonts w:cs="Arial"/>
                <w:sz w:val="22"/>
                <w:szCs w:val="22"/>
              </w:rPr>
              <w:t>Establish a dialogue between health and other sectors aimed at reducing stigma and discrimination against people with STI and affected individuals and communities.</w:t>
            </w:r>
          </w:p>
        </w:tc>
      </w:tr>
      <w:tr w:rsidR="001968C9" w14:paraId="3990461D" w14:textId="77777777" w:rsidTr="0AD8DA66">
        <w:tc>
          <w:tcPr>
            <w:tcW w:w="983" w:type="dxa"/>
            <w:tcBorders>
              <w:right w:val="nil"/>
            </w:tcBorders>
          </w:tcPr>
          <w:p w14:paraId="29E9F357" w14:textId="23182EC6" w:rsidR="001968C9" w:rsidRPr="00771B0D" w:rsidRDefault="00AB499E" w:rsidP="001968C9">
            <w:pPr>
              <w:pStyle w:val="BodyText"/>
              <w:spacing w:before="120"/>
              <w:jc w:val="center"/>
              <w:rPr>
                <w:rFonts w:cs="Arial"/>
                <w:b/>
                <w:bCs/>
                <w:color w:val="F7941D"/>
                <w:sz w:val="56"/>
                <w:szCs w:val="56"/>
              </w:rPr>
            </w:pPr>
            <w:r>
              <w:rPr>
                <w:rFonts w:cs="Arial"/>
                <w:b/>
                <w:bCs/>
                <w:color w:val="F7941D"/>
                <w:sz w:val="56"/>
                <w:szCs w:val="56"/>
              </w:rPr>
              <w:t>2</w:t>
            </w:r>
            <w:r w:rsidR="002F3E68">
              <w:rPr>
                <w:rFonts w:cs="Arial"/>
                <w:b/>
                <w:bCs/>
                <w:color w:val="F7941D"/>
                <w:sz w:val="56"/>
                <w:szCs w:val="56"/>
              </w:rPr>
              <w:t>2</w:t>
            </w:r>
          </w:p>
        </w:tc>
        <w:tc>
          <w:tcPr>
            <w:tcW w:w="8629" w:type="dxa"/>
            <w:tcBorders>
              <w:left w:val="nil"/>
            </w:tcBorders>
          </w:tcPr>
          <w:p w14:paraId="0F292C2C" w14:textId="49E4D28D" w:rsidR="001968C9" w:rsidRPr="00ED0E53" w:rsidRDefault="00C73C34" w:rsidP="001968C9">
            <w:pPr>
              <w:pStyle w:val="BodyText"/>
              <w:spacing w:before="120"/>
              <w:rPr>
                <w:rFonts w:cs="Arial"/>
                <w:sz w:val="22"/>
                <w:szCs w:val="22"/>
              </w:rPr>
            </w:pPr>
            <w:r w:rsidRPr="72142731">
              <w:rPr>
                <w:rFonts w:cs="Arial"/>
                <w:sz w:val="22"/>
                <w:szCs w:val="22"/>
              </w:rPr>
              <w:t>Monitor and address legal, regulatory and policy contexts, which result in stigma and discrimination and impact health-seeking behaviour among priority populations and their access to STI testing and services, including those that address criminalisation of STI transmission, and consider how these can be addressed</w:t>
            </w:r>
            <w:r w:rsidRPr="005C4DEC">
              <w:rPr>
                <w:rFonts w:cs="Arial"/>
                <w:sz w:val="22"/>
                <w:szCs w:val="22"/>
              </w:rPr>
              <w:t>.</w:t>
            </w:r>
          </w:p>
        </w:tc>
      </w:tr>
      <w:tr w:rsidR="00FD66B8" w14:paraId="03BD6E71" w14:textId="77777777" w:rsidTr="0AD8DA66">
        <w:tc>
          <w:tcPr>
            <w:tcW w:w="983" w:type="dxa"/>
            <w:tcBorders>
              <w:right w:val="nil"/>
            </w:tcBorders>
          </w:tcPr>
          <w:p w14:paraId="1D06F836" w14:textId="2966AFB6" w:rsidR="00FD66B8" w:rsidRDefault="00F66C88" w:rsidP="001968C9">
            <w:pPr>
              <w:pStyle w:val="BodyText"/>
              <w:spacing w:before="120"/>
              <w:jc w:val="center"/>
              <w:rPr>
                <w:rFonts w:cs="Arial"/>
                <w:b/>
                <w:bCs/>
                <w:color w:val="F7941D"/>
                <w:sz w:val="56"/>
                <w:szCs w:val="56"/>
              </w:rPr>
            </w:pPr>
            <w:r>
              <w:rPr>
                <w:rFonts w:cs="Arial"/>
                <w:b/>
                <w:bCs/>
                <w:color w:val="F7941D"/>
                <w:sz w:val="56"/>
                <w:szCs w:val="56"/>
              </w:rPr>
              <w:t>2</w:t>
            </w:r>
            <w:r w:rsidR="002F3E68">
              <w:rPr>
                <w:rFonts w:cs="Arial"/>
                <w:b/>
                <w:bCs/>
                <w:color w:val="F7941D"/>
                <w:sz w:val="56"/>
                <w:szCs w:val="56"/>
              </w:rPr>
              <w:t>3</w:t>
            </w:r>
          </w:p>
        </w:tc>
        <w:tc>
          <w:tcPr>
            <w:tcW w:w="8629" w:type="dxa"/>
            <w:tcBorders>
              <w:left w:val="nil"/>
            </w:tcBorders>
          </w:tcPr>
          <w:p w14:paraId="2F6D009E" w14:textId="5778602E" w:rsidR="00FD66B8" w:rsidRPr="00515EF6" w:rsidRDefault="00FD66B8" w:rsidP="001968C9">
            <w:pPr>
              <w:pStyle w:val="BodyText"/>
              <w:spacing w:before="120"/>
              <w:rPr>
                <w:rFonts w:cs="Arial"/>
                <w:color w:val="000000" w:themeColor="text1"/>
                <w:sz w:val="22"/>
                <w:szCs w:val="22"/>
              </w:rPr>
            </w:pPr>
            <w:r w:rsidRPr="00515EF6">
              <w:rPr>
                <w:rFonts w:cs="Arial"/>
                <w:color w:val="000000" w:themeColor="text1"/>
                <w:sz w:val="22"/>
                <w:szCs w:val="22"/>
              </w:rPr>
              <w:t>Set national standards for a minimum package of STI services that can be adapted for settings based on epidemiology and population ratios.</w:t>
            </w:r>
          </w:p>
        </w:tc>
      </w:tr>
    </w:tbl>
    <w:p w14:paraId="1C0D10B6" w14:textId="77777777" w:rsidR="009947CA" w:rsidRDefault="009947CA" w:rsidP="00522C41">
      <w:pPr>
        <w:pStyle w:val="BodyText"/>
        <w:spacing w:after="0"/>
        <w:jc w:val="both"/>
        <w:rPr>
          <w:rFonts w:cs="Arial"/>
          <w:b/>
          <w:bCs/>
          <w:color w:val="000000" w:themeColor="text1"/>
          <w:sz w:val="22"/>
          <w:szCs w:val="22"/>
        </w:rPr>
      </w:pPr>
    </w:p>
    <w:p w14:paraId="0EC21169" w14:textId="77777777" w:rsidR="00D74561" w:rsidRDefault="00031E79">
      <w:pPr>
        <w:rPr>
          <w:rFonts w:cs="Arial"/>
          <w:sz w:val="22"/>
          <w:szCs w:val="22"/>
        </w:rPr>
      </w:pPr>
      <w:bookmarkStart w:id="111" w:name="_Hlk145598135"/>
      <w:bookmarkStart w:id="112" w:name="_Hlk143595066"/>
      <w:bookmarkStart w:id="113" w:name="_Toc95272813"/>
      <w:bookmarkStart w:id="114" w:name="_Toc100317602"/>
      <w:r w:rsidRPr="00442D9E">
        <w:rPr>
          <w:rFonts w:cs="Arial"/>
          <w:sz w:val="22"/>
          <w:szCs w:val="22"/>
        </w:rPr>
        <w:t>Outcomes expected from this priority area include inclusion for all within health care settings</w:t>
      </w:r>
      <w:r w:rsidR="00264F30">
        <w:rPr>
          <w:rFonts w:cs="Arial"/>
          <w:sz w:val="22"/>
          <w:szCs w:val="22"/>
        </w:rPr>
        <w:t>,</w:t>
      </w:r>
      <w:r w:rsidRPr="00442D9E">
        <w:rPr>
          <w:rFonts w:cs="Arial"/>
          <w:sz w:val="22"/>
          <w:szCs w:val="22"/>
        </w:rPr>
        <w:t xml:space="preserve"> the elimination of STI related stigma</w:t>
      </w:r>
      <w:r w:rsidR="00264F30">
        <w:rPr>
          <w:rFonts w:cs="Arial"/>
          <w:sz w:val="22"/>
          <w:szCs w:val="22"/>
        </w:rPr>
        <w:t>,</w:t>
      </w:r>
      <w:r w:rsidRPr="00442D9E">
        <w:rPr>
          <w:rFonts w:cs="Arial"/>
          <w:sz w:val="22"/>
          <w:szCs w:val="22"/>
        </w:rPr>
        <w:t xml:space="preserve"> and legal and policy frameworks that enable priority populations to seek out healthcare and take preventative measures to look after their sexual health and wellbeing</w:t>
      </w:r>
      <w:r w:rsidR="00F54638">
        <w:rPr>
          <w:rFonts w:cs="Arial"/>
          <w:sz w:val="22"/>
          <w:szCs w:val="22"/>
        </w:rPr>
        <w:t>.</w:t>
      </w:r>
      <w:r w:rsidRPr="00442D9E">
        <w:rPr>
          <w:rFonts w:cs="Arial"/>
          <w:sz w:val="22"/>
          <w:szCs w:val="22"/>
        </w:rPr>
        <w:t xml:space="preserve"> </w:t>
      </w:r>
      <w:r w:rsidR="00F54638">
        <w:rPr>
          <w:rFonts w:cs="Arial"/>
          <w:sz w:val="22"/>
          <w:szCs w:val="22"/>
        </w:rPr>
        <w:t>T</w:t>
      </w:r>
      <w:r w:rsidRPr="00442D9E">
        <w:rPr>
          <w:rFonts w:cs="Arial"/>
          <w:sz w:val="22"/>
          <w:szCs w:val="22"/>
        </w:rPr>
        <w:t>h</w:t>
      </w:r>
      <w:r w:rsidR="00F54638">
        <w:rPr>
          <w:rFonts w:cs="Arial"/>
          <w:sz w:val="22"/>
          <w:szCs w:val="22"/>
        </w:rPr>
        <w:t>is</w:t>
      </w:r>
      <w:r w:rsidRPr="00442D9E">
        <w:rPr>
          <w:rFonts w:cs="Arial"/>
          <w:sz w:val="22"/>
          <w:szCs w:val="22"/>
        </w:rPr>
        <w:t xml:space="preserve"> enabl</w:t>
      </w:r>
      <w:r w:rsidR="00F54638">
        <w:rPr>
          <w:rFonts w:cs="Arial"/>
          <w:sz w:val="22"/>
          <w:szCs w:val="22"/>
        </w:rPr>
        <w:t>es</w:t>
      </w:r>
      <w:r w:rsidRPr="00442D9E">
        <w:rPr>
          <w:rFonts w:cs="Arial"/>
          <w:sz w:val="22"/>
          <w:szCs w:val="22"/>
        </w:rPr>
        <w:t xml:space="preserve"> the achievement of Goal </w:t>
      </w:r>
      <w:r w:rsidR="001B7150">
        <w:rPr>
          <w:rFonts w:cs="Arial"/>
          <w:sz w:val="22"/>
          <w:szCs w:val="22"/>
        </w:rPr>
        <w:t xml:space="preserve">4 </w:t>
      </w:r>
      <w:r w:rsidRPr="00442D9E">
        <w:rPr>
          <w:rFonts w:cs="Arial"/>
          <w:sz w:val="22"/>
          <w:szCs w:val="22"/>
        </w:rPr>
        <w:t xml:space="preserve">(eliminate the negative impact of stigma, discrimination, and legal and human rights issues on people’s health) of this </w:t>
      </w:r>
      <w:r w:rsidR="00F54638">
        <w:rPr>
          <w:rFonts w:cs="Arial"/>
          <w:sz w:val="22"/>
          <w:szCs w:val="22"/>
        </w:rPr>
        <w:t>S</w:t>
      </w:r>
      <w:r w:rsidRPr="00442D9E">
        <w:rPr>
          <w:rFonts w:cs="Arial"/>
          <w:sz w:val="22"/>
          <w:szCs w:val="22"/>
        </w:rPr>
        <w:t>trategy.</w:t>
      </w:r>
      <w:bookmarkEnd w:id="111"/>
    </w:p>
    <w:p w14:paraId="1FEE726D" w14:textId="2CCEA5F9" w:rsidR="00EE4E7F" w:rsidRDefault="00EE4E7F">
      <w:pPr>
        <w:rPr>
          <w:rFonts w:cs="Arial"/>
          <w:sz w:val="22"/>
          <w:szCs w:val="22"/>
        </w:rPr>
      </w:pPr>
      <w:r>
        <w:rPr>
          <w:rFonts w:cs="Arial"/>
          <w:sz w:val="22"/>
          <w:szCs w:val="22"/>
        </w:rPr>
        <w:br w:type="page"/>
      </w:r>
    </w:p>
    <w:p w14:paraId="203BC606" w14:textId="77777777" w:rsidR="00C80868" w:rsidRPr="00442D9E" w:rsidRDefault="00C80868" w:rsidP="00EA1482">
      <w:pPr>
        <w:rPr>
          <w:rFonts w:cs="Arial"/>
          <w:sz w:val="22"/>
          <w:szCs w:val="22"/>
        </w:rPr>
      </w:pPr>
    </w:p>
    <w:p w14:paraId="563D534D" w14:textId="4F8170E5" w:rsidR="00031E79" w:rsidRPr="00442D9E" w:rsidRDefault="00031E79" w:rsidP="00515EF6">
      <w:pPr>
        <w:pStyle w:val="Heading2"/>
        <w:numPr>
          <w:ilvl w:val="1"/>
          <w:numId w:val="7"/>
        </w:numPr>
        <w:rPr>
          <w:rFonts w:ascii="Arial" w:hAnsi="Arial" w:cs="Arial"/>
        </w:rPr>
      </w:pPr>
      <w:bookmarkStart w:id="115" w:name="_Toc146813406"/>
      <w:bookmarkStart w:id="116" w:name="_Toc150160968"/>
      <w:bookmarkStart w:id="117" w:name="_Toc163737194"/>
      <w:bookmarkEnd w:id="112"/>
      <w:r w:rsidRPr="00442D9E">
        <w:rPr>
          <w:rFonts w:ascii="Arial" w:hAnsi="Arial" w:cs="Arial"/>
        </w:rPr>
        <w:t>Data, Surveillance, Research and Evaluation</w:t>
      </w:r>
      <w:bookmarkEnd w:id="115"/>
      <w:r w:rsidRPr="00442D9E">
        <w:rPr>
          <w:rFonts w:ascii="Arial" w:hAnsi="Arial" w:cs="Arial"/>
        </w:rPr>
        <w:t xml:space="preserve"> </w:t>
      </w:r>
      <w:r w:rsidR="007766C1">
        <w:rPr>
          <w:noProof/>
        </w:rPr>
        <w:drawing>
          <wp:anchor distT="0" distB="0" distL="114300" distR="114300" simplePos="0" relativeHeight="251657246" behindDoc="1" locked="1" layoutInCell="1" allowOverlap="1" wp14:anchorId="0D936FBA" wp14:editId="719EE63D">
            <wp:simplePos x="0" y="0"/>
            <wp:positionH relativeFrom="margin">
              <wp:posOffset>-82550</wp:posOffset>
            </wp:positionH>
            <wp:positionV relativeFrom="paragraph">
              <wp:posOffset>-51435</wp:posOffset>
            </wp:positionV>
            <wp:extent cx="255600" cy="255600"/>
            <wp:effectExtent l="0" t="0" r="0" b="0"/>
            <wp:wrapTight wrapText="bothSides">
              <wp:wrapPolygon edited="0">
                <wp:start x="4836" y="0"/>
                <wp:lineTo x="0" y="11284"/>
                <wp:lineTo x="0" y="19343"/>
                <wp:lineTo x="6448" y="19343"/>
                <wp:lineTo x="19343" y="16119"/>
                <wp:lineTo x="19343" y="0"/>
                <wp:lineTo x="4836" y="0"/>
              </wp:wrapPolygon>
            </wp:wrapTight>
            <wp:docPr id="494276797" name="Graphic 494276797" descr="P9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6797" name="Graphic 494276797" descr="P953#y1">
                      <a:extLst>
                        <a:ext uri="{C183D7F6-B498-43B3-948B-1728B52AA6E4}">
                          <adec:decorative xmlns:adec="http://schemas.microsoft.com/office/drawing/2017/decorative" val="1"/>
                        </a:ext>
                      </a:extLst>
                    </pic:cNvPr>
                    <pic:cNvPicPr/>
                  </pic:nvPicPr>
                  <pic:blipFill>
                    <a:blip r:embed="rId103">
                      <a:extLst>
                        <a:ext uri="{96DAC541-7B7A-43D3-8B79-37D633B846F1}">
                          <asvg:svgBlip xmlns:asvg="http://schemas.microsoft.com/office/drawing/2016/SVG/main" r:embed="rId104"/>
                        </a:ext>
                      </a:extLst>
                    </a:blip>
                    <a:stretch>
                      <a:fillRect/>
                    </a:stretch>
                  </pic:blipFill>
                  <pic:spPr>
                    <a:xfrm>
                      <a:off x="0" y="0"/>
                      <a:ext cx="255600" cy="255600"/>
                    </a:xfrm>
                    <a:prstGeom prst="rect">
                      <a:avLst/>
                    </a:prstGeom>
                  </pic:spPr>
                </pic:pic>
              </a:graphicData>
            </a:graphic>
            <wp14:sizeRelH relativeFrom="margin">
              <wp14:pctWidth>0</wp14:pctWidth>
            </wp14:sizeRelH>
            <wp14:sizeRelV relativeFrom="margin">
              <wp14:pctHeight>0</wp14:pctHeight>
            </wp14:sizeRelV>
          </wp:anchor>
        </w:drawing>
      </w:r>
      <w:bookmarkEnd w:id="116"/>
      <w:bookmarkEnd w:id="117"/>
    </w:p>
    <w:p w14:paraId="09B186D8" w14:textId="1D02509E" w:rsidR="00031E79" w:rsidRPr="00442D9E" w:rsidRDefault="00031E79" w:rsidP="00522C41">
      <w:pPr>
        <w:jc w:val="both"/>
        <w:rPr>
          <w:rFonts w:cs="Arial"/>
          <w:color w:val="000000" w:themeColor="text1"/>
          <w:sz w:val="22"/>
          <w:szCs w:val="22"/>
        </w:rPr>
      </w:pPr>
    </w:p>
    <w:p w14:paraId="1479B3FE" w14:textId="48B28199"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The epidemiology of STI in Australia is changing rapidly. Continuous improvement of data collection and systems is important for supporting a comprehensive understanding of current and emerging STI in Australia. However, this must be appropriately targeted to avoid unnecessary burdens on health services and frontline staff and ensure privacy and confidentiality for all.</w:t>
      </w:r>
    </w:p>
    <w:p w14:paraId="010CE4BC" w14:textId="1C266253" w:rsidR="00031E79" w:rsidRPr="00442D9E" w:rsidRDefault="00031E79" w:rsidP="00522C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themeColor="text1"/>
          <w:sz w:val="22"/>
          <w:szCs w:val="22"/>
        </w:rPr>
      </w:pPr>
    </w:p>
    <w:p w14:paraId="7A8EC616" w14:textId="6913D212" w:rsidR="00031E79" w:rsidRPr="00442D9E" w:rsidRDefault="00031E79" w:rsidP="00522C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themeColor="text1"/>
          <w:sz w:val="22"/>
          <w:szCs w:val="22"/>
        </w:rPr>
      </w:pPr>
      <w:r w:rsidRPr="00442D9E">
        <w:rPr>
          <w:rFonts w:cs="Arial"/>
          <w:color w:val="000000" w:themeColor="text1"/>
          <w:sz w:val="22"/>
          <w:szCs w:val="22"/>
        </w:rPr>
        <w:t>Data surveillance and its timely feedback must be sustained and made accessible to inform clinical practice. Rapid epidemiological and laboratory surveillance data are available and reported to the Australian Government Department of Health and Aged Care every quarter. This data should be made accessible to improve tailored public health and community-led responses. Potential areas for greater involvement of community and peer-based organisations in surveillance should also be identified, given their strong knowledge of priority populations.</w:t>
      </w:r>
    </w:p>
    <w:bookmarkEnd w:id="113"/>
    <w:bookmarkEnd w:id="114"/>
    <w:p w14:paraId="41B6CE5F" w14:textId="77777777" w:rsidR="00031E79" w:rsidRPr="00442D9E" w:rsidRDefault="00031E79" w:rsidP="00522C41">
      <w:pPr>
        <w:pStyle w:val="BodyText"/>
        <w:spacing w:after="0"/>
        <w:jc w:val="both"/>
        <w:rPr>
          <w:rFonts w:cs="Arial"/>
          <w:color w:val="000000" w:themeColor="text1"/>
          <w:sz w:val="22"/>
          <w:szCs w:val="22"/>
        </w:rPr>
      </w:pPr>
    </w:p>
    <w:p w14:paraId="1D17F38C" w14:textId="624EB3E1"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 xml:space="preserve">Opportunities to improve the granularity of data to better identify trends and issues of concern for specific priority populations and other demographics should be explored. These opportunities include improved reporting of </w:t>
      </w:r>
      <w:r w:rsidR="009E5590">
        <w:rPr>
          <w:rFonts w:cs="Arial"/>
          <w:color w:val="000000" w:themeColor="text1"/>
          <w:sz w:val="22"/>
          <w:szCs w:val="22"/>
        </w:rPr>
        <w:t>Aboriginal and Torres Strait Islander</w:t>
      </w:r>
      <w:r w:rsidR="00545459">
        <w:rPr>
          <w:rFonts w:cs="Arial"/>
          <w:color w:val="000000" w:themeColor="text1"/>
          <w:sz w:val="22"/>
          <w:szCs w:val="22"/>
        </w:rPr>
        <w:t xml:space="preserve"> </w:t>
      </w:r>
      <w:r w:rsidRPr="00442D9E">
        <w:rPr>
          <w:rFonts w:cs="Arial"/>
          <w:color w:val="000000" w:themeColor="text1"/>
          <w:sz w:val="22"/>
          <w:szCs w:val="22"/>
        </w:rPr>
        <w:t>status in clinical and pathology settings and improved data on stigma and discrimination, gender and sexuality, and quality of life for people with STI.</w:t>
      </w:r>
    </w:p>
    <w:p w14:paraId="5B173CD2" w14:textId="77777777" w:rsidR="00031E79" w:rsidRPr="00442D9E" w:rsidRDefault="00031E79" w:rsidP="00522C41">
      <w:pPr>
        <w:pStyle w:val="BodyText"/>
        <w:spacing w:after="0"/>
        <w:jc w:val="both"/>
        <w:rPr>
          <w:rFonts w:cs="Arial"/>
          <w:color w:val="000000" w:themeColor="text1"/>
          <w:sz w:val="22"/>
          <w:szCs w:val="22"/>
        </w:rPr>
      </w:pPr>
    </w:p>
    <w:p w14:paraId="25853D9A" w14:textId="15071D03"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 xml:space="preserve">Surveillance data is only collected for the four notifiable STI at the national level, limiting understanding of the full impact of STI in Australia. Some populations and locations are known to experience high rates of non-nationally notifiable STI, such as the high rates of </w:t>
      </w:r>
      <w:r w:rsidRPr="00442D9E">
        <w:rPr>
          <w:rFonts w:cs="Arial"/>
          <w:i/>
          <w:color w:val="000000" w:themeColor="text1"/>
          <w:sz w:val="22"/>
          <w:szCs w:val="22"/>
        </w:rPr>
        <w:t>Trichomonas vaginalis</w:t>
      </w:r>
      <w:r w:rsidRPr="00442D9E">
        <w:rPr>
          <w:rFonts w:cs="Arial"/>
          <w:color w:val="000000" w:themeColor="text1"/>
          <w:sz w:val="22"/>
          <w:szCs w:val="22"/>
        </w:rPr>
        <w:t xml:space="preserve"> and endemic rates of HTLV-1</w:t>
      </w:r>
      <w:r w:rsidR="008B43F1">
        <w:rPr>
          <w:rFonts w:ascii="ZWAdobeF" w:hAnsi="ZWAdobeF" w:cs="ZWAdobeF"/>
          <w:sz w:val="2"/>
          <w:szCs w:val="2"/>
        </w:rPr>
        <w:t>1F</w:t>
      </w:r>
      <w:r w:rsidR="00AD047E">
        <w:rPr>
          <w:rStyle w:val="FootnoteReference"/>
          <w:rFonts w:cs="Arial"/>
          <w:color w:val="000000" w:themeColor="text1"/>
          <w:sz w:val="22"/>
          <w:szCs w:val="22"/>
        </w:rPr>
        <w:footnoteReference w:id="3"/>
      </w:r>
      <w:r w:rsidRPr="00442D9E">
        <w:rPr>
          <w:rFonts w:cs="Arial"/>
          <w:color w:val="000000" w:themeColor="text1"/>
          <w:sz w:val="22"/>
          <w:szCs w:val="22"/>
        </w:rPr>
        <w:t xml:space="preserve"> among many remote </w:t>
      </w:r>
      <w:r w:rsidR="009E5590">
        <w:rPr>
          <w:rFonts w:cs="Arial"/>
          <w:color w:val="000000" w:themeColor="text1"/>
          <w:sz w:val="22"/>
          <w:szCs w:val="22"/>
        </w:rPr>
        <w:t>Aboriginal and Torres Strait Islander</w:t>
      </w:r>
      <w:r w:rsidRPr="00442D9E">
        <w:rPr>
          <w:rFonts w:cs="Arial"/>
          <w:color w:val="000000" w:themeColor="text1"/>
          <w:sz w:val="22"/>
          <w:szCs w:val="22"/>
        </w:rPr>
        <w:t xml:space="preserve"> communities.</w:t>
      </w:r>
      <w:r w:rsidR="00D22BA5">
        <w:rPr>
          <w:rFonts w:cs="Arial"/>
          <w:color w:val="000000" w:themeColor="text1"/>
          <w:sz w:val="22"/>
          <w:szCs w:val="22"/>
        </w:rPr>
        <w:t xml:space="preserve"> A further limitation is </w:t>
      </w:r>
      <w:r w:rsidR="002D1F96">
        <w:rPr>
          <w:rFonts w:cs="Arial"/>
          <w:color w:val="000000" w:themeColor="text1"/>
          <w:sz w:val="22"/>
          <w:szCs w:val="22"/>
        </w:rPr>
        <w:t xml:space="preserve">that </w:t>
      </w:r>
      <w:r w:rsidR="008C3586">
        <w:rPr>
          <w:rFonts w:cs="Arial"/>
          <w:color w:val="000000" w:themeColor="text1"/>
          <w:sz w:val="22"/>
          <w:szCs w:val="22"/>
        </w:rPr>
        <w:t xml:space="preserve">surveillance </w:t>
      </w:r>
      <w:r w:rsidR="002D1F96">
        <w:rPr>
          <w:rFonts w:cs="Arial"/>
          <w:color w:val="000000" w:themeColor="text1"/>
          <w:sz w:val="22"/>
          <w:szCs w:val="22"/>
        </w:rPr>
        <w:t xml:space="preserve">is focussed on case notifications, </w:t>
      </w:r>
      <w:r w:rsidR="00F32C4A">
        <w:rPr>
          <w:rFonts w:cs="Arial"/>
          <w:color w:val="000000" w:themeColor="text1"/>
          <w:sz w:val="22"/>
          <w:szCs w:val="22"/>
        </w:rPr>
        <w:t xml:space="preserve">with </w:t>
      </w:r>
      <w:r w:rsidR="009E3CD3">
        <w:rPr>
          <w:rFonts w:cs="Arial"/>
          <w:color w:val="000000" w:themeColor="text1"/>
          <w:sz w:val="22"/>
          <w:szCs w:val="22"/>
        </w:rPr>
        <w:t>limited reporting</w:t>
      </w:r>
      <w:r w:rsidR="00915420">
        <w:rPr>
          <w:rFonts w:cs="Arial"/>
          <w:color w:val="000000" w:themeColor="text1"/>
          <w:sz w:val="22"/>
          <w:szCs w:val="22"/>
        </w:rPr>
        <w:t xml:space="preserve"> </w:t>
      </w:r>
      <w:r w:rsidR="008C3586">
        <w:rPr>
          <w:rFonts w:cs="Arial"/>
          <w:color w:val="000000" w:themeColor="text1"/>
          <w:sz w:val="22"/>
          <w:szCs w:val="22"/>
        </w:rPr>
        <w:t xml:space="preserve">on </w:t>
      </w:r>
      <w:r w:rsidR="00064B5A">
        <w:rPr>
          <w:rFonts w:cs="Arial"/>
          <w:color w:val="000000" w:themeColor="text1"/>
          <w:sz w:val="22"/>
          <w:szCs w:val="22"/>
        </w:rPr>
        <w:t>other aspects in of disease acquisition such as accessib</w:t>
      </w:r>
      <w:r w:rsidR="00527541">
        <w:rPr>
          <w:rFonts w:cs="Arial"/>
          <w:color w:val="000000" w:themeColor="text1"/>
          <w:sz w:val="22"/>
          <w:szCs w:val="22"/>
        </w:rPr>
        <w:t xml:space="preserve">le provision of </w:t>
      </w:r>
      <w:r w:rsidR="00064B5A">
        <w:rPr>
          <w:rFonts w:cs="Arial"/>
          <w:color w:val="000000" w:themeColor="text1"/>
          <w:sz w:val="22"/>
          <w:szCs w:val="22"/>
        </w:rPr>
        <w:t>services</w:t>
      </w:r>
      <w:r w:rsidR="002A7155">
        <w:rPr>
          <w:rFonts w:cs="Arial"/>
          <w:color w:val="000000" w:themeColor="text1"/>
          <w:sz w:val="22"/>
          <w:szCs w:val="22"/>
        </w:rPr>
        <w:t xml:space="preserve">, </w:t>
      </w:r>
      <w:r w:rsidR="00F32C4A">
        <w:rPr>
          <w:rFonts w:cs="Arial"/>
          <w:color w:val="000000" w:themeColor="text1"/>
          <w:sz w:val="22"/>
          <w:szCs w:val="22"/>
        </w:rPr>
        <w:t xml:space="preserve">testing </w:t>
      </w:r>
      <w:r w:rsidR="00064B5A">
        <w:rPr>
          <w:rFonts w:cs="Arial"/>
          <w:color w:val="000000" w:themeColor="text1"/>
          <w:sz w:val="22"/>
          <w:szCs w:val="22"/>
        </w:rPr>
        <w:t xml:space="preserve">and positivity </w:t>
      </w:r>
      <w:r w:rsidR="00F32C4A">
        <w:rPr>
          <w:rFonts w:cs="Arial"/>
          <w:color w:val="000000" w:themeColor="text1"/>
          <w:sz w:val="22"/>
          <w:szCs w:val="22"/>
        </w:rPr>
        <w:t>rates</w:t>
      </w:r>
      <w:r w:rsidR="0095045C">
        <w:rPr>
          <w:rFonts w:cs="Arial"/>
          <w:color w:val="000000" w:themeColor="text1"/>
          <w:sz w:val="22"/>
          <w:szCs w:val="22"/>
        </w:rPr>
        <w:t xml:space="preserve">, </w:t>
      </w:r>
      <w:r w:rsidR="00C3747E">
        <w:rPr>
          <w:rFonts w:cs="Arial"/>
          <w:color w:val="000000" w:themeColor="text1"/>
          <w:sz w:val="22"/>
          <w:szCs w:val="22"/>
        </w:rPr>
        <w:t>success of contract tracing</w:t>
      </w:r>
      <w:r w:rsidR="0095045C">
        <w:rPr>
          <w:rFonts w:cs="Arial"/>
          <w:color w:val="000000" w:themeColor="text1"/>
          <w:sz w:val="22"/>
          <w:szCs w:val="22"/>
        </w:rPr>
        <w:t xml:space="preserve">, or disease consequences such as </w:t>
      </w:r>
      <w:r w:rsidR="009A6CA3">
        <w:rPr>
          <w:rFonts w:cs="Arial"/>
          <w:color w:val="000000" w:themeColor="text1"/>
          <w:sz w:val="22"/>
          <w:szCs w:val="22"/>
        </w:rPr>
        <w:t xml:space="preserve">the morbidities and disability resulting from a STI. </w:t>
      </w:r>
    </w:p>
    <w:p w14:paraId="0398F359" w14:textId="77777777" w:rsidR="00031E79" w:rsidRPr="00442D9E" w:rsidRDefault="00031E79" w:rsidP="00522C41">
      <w:pPr>
        <w:pStyle w:val="BodyText"/>
        <w:spacing w:after="0"/>
        <w:jc w:val="both"/>
        <w:rPr>
          <w:rFonts w:cs="Arial"/>
          <w:color w:val="000000" w:themeColor="text1"/>
          <w:sz w:val="22"/>
          <w:szCs w:val="22"/>
        </w:rPr>
      </w:pPr>
    </w:p>
    <w:p w14:paraId="1DBC4BDD" w14:textId="2A761790" w:rsidR="00031E79" w:rsidRPr="00442D9E"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As well as having access to high-quality, timely surveillance data, it is critical that there are opportunities to improve the capacity to respond to current and emerging STI. Improved STI management and notification systems and clear roles and responsibilities are necessary to support effective responses to increased STI incidence, including during outbreaks. Essential elements of an effective response include comprehensive follow-up treatment and effective contact tracing, measures to prevent further transmission, and review of STI treatment guidelines.</w:t>
      </w:r>
    </w:p>
    <w:p w14:paraId="5BB72F68" w14:textId="77777777" w:rsidR="00031E79" w:rsidRPr="00442D9E" w:rsidRDefault="00031E79" w:rsidP="00522C41">
      <w:pPr>
        <w:pStyle w:val="BodyText"/>
        <w:spacing w:after="0"/>
        <w:jc w:val="both"/>
        <w:rPr>
          <w:rFonts w:cs="Arial"/>
          <w:color w:val="000000" w:themeColor="text1"/>
          <w:sz w:val="22"/>
          <w:szCs w:val="22"/>
        </w:rPr>
      </w:pPr>
    </w:p>
    <w:p w14:paraId="1DA2859F" w14:textId="670FCCB8" w:rsidR="00176F35" w:rsidRDefault="00031E79" w:rsidP="00522C41">
      <w:pPr>
        <w:pStyle w:val="BodyText"/>
        <w:spacing w:after="0"/>
        <w:jc w:val="both"/>
        <w:rPr>
          <w:rFonts w:cs="Arial"/>
          <w:color w:val="000000" w:themeColor="text1"/>
          <w:sz w:val="22"/>
          <w:szCs w:val="22"/>
        </w:rPr>
      </w:pPr>
      <w:r w:rsidRPr="00442D9E">
        <w:rPr>
          <w:rFonts w:cs="Arial"/>
          <w:color w:val="000000" w:themeColor="text1"/>
          <w:sz w:val="22"/>
          <w:szCs w:val="22"/>
        </w:rPr>
        <w:t>In partnership with the community sector, research on the social, behavioural, clinical</w:t>
      </w:r>
      <w:r w:rsidR="008A30C0">
        <w:rPr>
          <w:rFonts w:cs="Arial"/>
          <w:color w:val="000000" w:themeColor="text1"/>
          <w:sz w:val="22"/>
          <w:szCs w:val="22"/>
        </w:rPr>
        <w:t>,</w:t>
      </w:r>
      <w:r w:rsidRPr="00442D9E">
        <w:rPr>
          <w:rFonts w:cs="Arial"/>
          <w:color w:val="000000" w:themeColor="text1"/>
          <w:sz w:val="22"/>
          <w:szCs w:val="22"/>
        </w:rPr>
        <w:t xml:space="preserve"> and structural drivers for, and barriers to, achieving optimal sexual health for all Australians must continue. Understanding the drivers of these changes is key to developing the most appropriate public health response.</w:t>
      </w:r>
    </w:p>
    <w:p w14:paraId="6CC541ED" w14:textId="77777777" w:rsidR="000E5A9F" w:rsidRDefault="000E5A9F" w:rsidP="000E5A9F">
      <w:pPr>
        <w:rPr>
          <w:rFonts w:cs="Arial"/>
          <w:color w:val="000000" w:themeColor="text1"/>
          <w:sz w:val="22"/>
          <w:szCs w:val="22"/>
        </w:rPr>
      </w:pPr>
    </w:p>
    <w:p w14:paraId="5F7E0A57" w14:textId="5FCA3E4F" w:rsidR="00031E79" w:rsidRPr="00442D9E" w:rsidRDefault="00031E79" w:rsidP="000E5A9F">
      <w:pPr>
        <w:rPr>
          <w:rFonts w:cs="Arial"/>
          <w:color w:val="000000" w:themeColor="text1"/>
          <w:sz w:val="22"/>
          <w:szCs w:val="22"/>
        </w:rPr>
      </w:pPr>
      <w:r w:rsidRPr="00442D9E">
        <w:rPr>
          <w:rFonts w:cs="Arial"/>
          <w:color w:val="000000" w:themeColor="text1"/>
          <w:sz w:val="22"/>
          <w:szCs w:val="22"/>
        </w:rPr>
        <w:t>Research is important to identify and examine:</w:t>
      </w:r>
    </w:p>
    <w:p w14:paraId="015F88E5" w14:textId="740883ED" w:rsidR="00031E79" w:rsidRPr="00442D9E" w:rsidRDefault="00A3256E" w:rsidP="004A48F7">
      <w:pPr>
        <w:pStyle w:val="BodyText"/>
        <w:numPr>
          <w:ilvl w:val="0"/>
          <w:numId w:val="8"/>
        </w:numPr>
        <w:spacing w:after="0"/>
        <w:jc w:val="both"/>
        <w:rPr>
          <w:rFonts w:cs="Arial"/>
          <w:color w:val="000000" w:themeColor="text1"/>
          <w:sz w:val="22"/>
          <w:szCs w:val="22"/>
        </w:rPr>
      </w:pPr>
      <w:r>
        <w:rPr>
          <w:rFonts w:cs="Arial"/>
          <w:color w:val="000000" w:themeColor="text1"/>
          <w:sz w:val="22"/>
          <w:szCs w:val="22"/>
        </w:rPr>
        <w:t>T</w:t>
      </w:r>
      <w:r w:rsidR="00031E79" w:rsidRPr="00442D9E">
        <w:rPr>
          <w:rFonts w:cs="Arial"/>
          <w:color w:val="000000" w:themeColor="text1"/>
          <w:sz w:val="22"/>
          <w:szCs w:val="22"/>
        </w:rPr>
        <w:t>he key changes in the epidemiology, knowledge</w:t>
      </w:r>
      <w:r w:rsidR="001F24F7">
        <w:rPr>
          <w:rFonts w:cs="Arial"/>
          <w:color w:val="000000" w:themeColor="text1"/>
          <w:sz w:val="22"/>
          <w:szCs w:val="22"/>
        </w:rPr>
        <w:t>,</w:t>
      </w:r>
      <w:r w:rsidR="00031E79" w:rsidRPr="00442D9E">
        <w:rPr>
          <w:rFonts w:cs="Arial"/>
          <w:color w:val="000000" w:themeColor="text1"/>
          <w:sz w:val="22"/>
          <w:szCs w:val="22"/>
        </w:rPr>
        <w:t xml:space="preserve"> and attitudes about STI and sexual health behaviours among priority populations (for example, patterns of sex work, mobility</w:t>
      </w:r>
      <w:r w:rsidR="001F24F7">
        <w:rPr>
          <w:rFonts w:cs="Arial"/>
          <w:color w:val="000000" w:themeColor="text1"/>
          <w:sz w:val="22"/>
          <w:szCs w:val="22"/>
        </w:rPr>
        <w:t>,</w:t>
      </w:r>
      <w:r w:rsidR="00031E79" w:rsidRPr="00442D9E">
        <w:rPr>
          <w:rFonts w:cs="Arial"/>
          <w:color w:val="000000" w:themeColor="text1"/>
          <w:sz w:val="22"/>
          <w:szCs w:val="22"/>
        </w:rPr>
        <w:t xml:space="preserve"> and migration)</w:t>
      </w:r>
    </w:p>
    <w:p w14:paraId="49137223" w14:textId="05BA0A5F" w:rsidR="00031E79" w:rsidRPr="00442D9E" w:rsidRDefault="004A44C7" w:rsidP="004A48F7">
      <w:pPr>
        <w:pStyle w:val="BodyText"/>
        <w:numPr>
          <w:ilvl w:val="0"/>
          <w:numId w:val="8"/>
        </w:numPr>
        <w:spacing w:after="0"/>
        <w:jc w:val="both"/>
        <w:rPr>
          <w:rFonts w:cs="Arial"/>
          <w:color w:val="000000" w:themeColor="text1"/>
          <w:sz w:val="22"/>
          <w:szCs w:val="22"/>
        </w:rPr>
      </w:pPr>
      <w:r>
        <w:rPr>
          <w:rFonts w:cs="Arial"/>
          <w:color w:val="000000" w:themeColor="text1"/>
          <w:sz w:val="22"/>
          <w:szCs w:val="22"/>
        </w:rPr>
        <w:t>D</w:t>
      </w:r>
      <w:r w:rsidR="00031E79" w:rsidRPr="00442D9E">
        <w:rPr>
          <w:rFonts w:cs="Arial"/>
          <w:color w:val="000000" w:themeColor="text1"/>
          <w:sz w:val="22"/>
          <w:szCs w:val="22"/>
        </w:rPr>
        <w:t>rivers of behaviours (such as having condomless sex with multiple partners and not seeking regular STI testing)</w:t>
      </w:r>
    </w:p>
    <w:p w14:paraId="0A0E845B" w14:textId="4D2C87F2" w:rsidR="00031E79" w:rsidRPr="00442D9E" w:rsidRDefault="004A44C7" w:rsidP="004A48F7">
      <w:pPr>
        <w:pStyle w:val="BodyText"/>
        <w:numPr>
          <w:ilvl w:val="0"/>
          <w:numId w:val="8"/>
        </w:numPr>
        <w:spacing w:after="0"/>
        <w:jc w:val="both"/>
        <w:rPr>
          <w:rFonts w:cs="Arial"/>
          <w:color w:val="000000" w:themeColor="text1"/>
          <w:sz w:val="22"/>
          <w:szCs w:val="22"/>
        </w:rPr>
      </w:pPr>
      <w:r>
        <w:rPr>
          <w:rFonts w:cs="Arial"/>
          <w:color w:val="000000" w:themeColor="text1"/>
          <w:sz w:val="22"/>
          <w:szCs w:val="22"/>
        </w:rPr>
        <w:t>E</w:t>
      </w:r>
      <w:r w:rsidR="00031E79" w:rsidRPr="00442D9E">
        <w:rPr>
          <w:rFonts w:cs="Arial"/>
          <w:color w:val="000000" w:themeColor="text1"/>
          <w:sz w:val="22"/>
          <w:szCs w:val="22"/>
        </w:rPr>
        <w:t xml:space="preserve">merging issues and concerns </w:t>
      </w:r>
      <w:r w:rsidR="0017121E">
        <w:rPr>
          <w:rFonts w:cs="Arial"/>
          <w:color w:val="000000" w:themeColor="text1"/>
          <w:sz w:val="22"/>
          <w:szCs w:val="22"/>
        </w:rPr>
        <w:t>on</w:t>
      </w:r>
      <w:r w:rsidR="00031E79" w:rsidRPr="00442D9E">
        <w:rPr>
          <w:rFonts w:cs="Arial"/>
          <w:color w:val="000000" w:themeColor="text1"/>
          <w:sz w:val="22"/>
          <w:szCs w:val="22"/>
        </w:rPr>
        <w:t xml:space="preserve"> new approaches and/or in response to community perspectives</w:t>
      </w:r>
    </w:p>
    <w:p w14:paraId="69F85B9E" w14:textId="406839E9" w:rsidR="00031E79" w:rsidRPr="00442D9E" w:rsidRDefault="004A44C7" w:rsidP="004A48F7">
      <w:pPr>
        <w:pStyle w:val="BodyText"/>
        <w:numPr>
          <w:ilvl w:val="0"/>
          <w:numId w:val="8"/>
        </w:numPr>
        <w:spacing w:after="0"/>
        <w:jc w:val="both"/>
        <w:rPr>
          <w:rFonts w:cs="Arial"/>
          <w:color w:val="000000" w:themeColor="text1"/>
          <w:sz w:val="22"/>
          <w:szCs w:val="22"/>
        </w:rPr>
      </w:pPr>
      <w:r>
        <w:rPr>
          <w:rFonts w:cs="Arial"/>
          <w:color w:val="000000" w:themeColor="text1"/>
          <w:sz w:val="22"/>
          <w:szCs w:val="22"/>
        </w:rPr>
        <w:t>B</w:t>
      </w:r>
      <w:r w:rsidR="00031E79" w:rsidRPr="00442D9E">
        <w:rPr>
          <w:rFonts w:cs="Arial"/>
          <w:color w:val="000000" w:themeColor="text1"/>
          <w:sz w:val="22"/>
          <w:szCs w:val="22"/>
        </w:rPr>
        <w:t>arriers and enablers to accessing evidence-based prevention, testing and treatment across jurisdictions</w:t>
      </w:r>
    </w:p>
    <w:p w14:paraId="77DF9DF4" w14:textId="7982882B" w:rsidR="00031E79" w:rsidRPr="00442D9E" w:rsidRDefault="004A44C7" w:rsidP="004A48F7">
      <w:pPr>
        <w:pStyle w:val="BodyText"/>
        <w:numPr>
          <w:ilvl w:val="0"/>
          <w:numId w:val="8"/>
        </w:numPr>
        <w:spacing w:after="0"/>
        <w:jc w:val="both"/>
        <w:rPr>
          <w:rFonts w:cs="Arial"/>
          <w:color w:val="000000" w:themeColor="text1"/>
          <w:sz w:val="22"/>
          <w:szCs w:val="22"/>
        </w:rPr>
      </w:pPr>
      <w:r>
        <w:rPr>
          <w:rFonts w:cs="Arial"/>
          <w:color w:val="000000" w:themeColor="text1"/>
          <w:sz w:val="22"/>
          <w:szCs w:val="22"/>
        </w:rPr>
        <w:lastRenderedPageBreak/>
        <w:t>L</w:t>
      </w:r>
      <w:r w:rsidR="00031E79" w:rsidRPr="00442D9E">
        <w:rPr>
          <w:rFonts w:cs="Arial"/>
          <w:color w:val="000000" w:themeColor="text1"/>
          <w:sz w:val="22"/>
          <w:szCs w:val="22"/>
        </w:rPr>
        <w:t>ived experience of STI for priority population groups, especially when taking an intersectional approach that recognises diversities within groups and between different realities</w:t>
      </w:r>
      <w:r w:rsidR="00993007" w:rsidRPr="00442D9E">
        <w:rPr>
          <w:rFonts w:cs="Arial"/>
          <w:color w:val="000000" w:themeColor="text1"/>
          <w:sz w:val="22"/>
          <w:szCs w:val="22"/>
        </w:rPr>
        <w:t>.</w:t>
      </w:r>
    </w:p>
    <w:p w14:paraId="58BB8683" w14:textId="77777777" w:rsidR="00031E79" w:rsidRPr="00442D9E" w:rsidRDefault="00031E79" w:rsidP="00522C41">
      <w:pPr>
        <w:pStyle w:val="BodyText"/>
        <w:spacing w:after="0"/>
        <w:ind w:left="720"/>
        <w:jc w:val="both"/>
        <w:rPr>
          <w:rFonts w:cs="Arial"/>
          <w:color w:val="000000" w:themeColor="text1"/>
          <w:sz w:val="22"/>
          <w:szCs w:val="22"/>
        </w:rPr>
      </w:pPr>
    </w:p>
    <w:p w14:paraId="2D242695" w14:textId="406278A1" w:rsidR="00031E79" w:rsidRPr="00442D9E" w:rsidRDefault="00031E79" w:rsidP="00A60E43">
      <w:pPr>
        <w:pBdr>
          <w:top w:val="nil"/>
          <w:left w:val="nil"/>
          <w:bottom w:val="nil"/>
          <w:right w:val="nil"/>
          <w:between w:val="nil"/>
        </w:pBdr>
        <w:jc w:val="both"/>
        <w:rPr>
          <w:rFonts w:cs="Arial"/>
          <w:color w:val="000000" w:themeColor="text1"/>
          <w:sz w:val="22"/>
          <w:szCs w:val="22"/>
        </w:rPr>
      </w:pPr>
      <w:r w:rsidRPr="00442D9E">
        <w:rPr>
          <w:rFonts w:cs="Arial"/>
          <w:color w:val="000000" w:themeColor="text1"/>
          <w:sz w:val="22"/>
          <w:szCs w:val="22"/>
        </w:rPr>
        <w:t>This research is critical to inform targeted responses in priority populations and settings, including identifying particularly vulnerable and/or marginalised people. Analysis of the rates of STI in young people from one or multiple priority population groups in Australia compared with their older counterparts is currently limited. Disaggregation of data in a comparable, appropriate</w:t>
      </w:r>
      <w:r w:rsidR="001F3ADF">
        <w:rPr>
          <w:rFonts w:cs="Arial"/>
          <w:color w:val="000000" w:themeColor="text1"/>
          <w:sz w:val="22"/>
          <w:szCs w:val="22"/>
        </w:rPr>
        <w:t>,</w:t>
      </w:r>
      <w:r w:rsidRPr="00442D9E">
        <w:rPr>
          <w:rFonts w:cs="Arial"/>
          <w:color w:val="000000" w:themeColor="text1"/>
          <w:sz w:val="22"/>
          <w:szCs w:val="22"/>
        </w:rPr>
        <w:t xml:space="preserve"> and confidential way is paramount.</w:t>
      </w:r>
    </w:p>
    <w:p w14:paraId="5EE8F78C" w14:textId="77777777" w:rsidR="00031E79" w:rsidRPr="00442D9E" w:rsidRDefault="00031E79" w:rsidP="00A60E43">
      <w:pPr>
        <w:pBdr>
          <w:top w:val="nil"/>
          <w:left w:val="nil"/>
          <w:bottom w:val="nil"/>
          <w:right w:val="nil"/>
          <w:between w:val="nil"/>
        </w:pBdr>
        <w:jc w:val="both"/>
        <w:rPr>
          <w:rFonts w:cs="Arial"/>
          <w:color w:val="000000" w:themeColor="text1"/>
          <w:sz w:val="22"/>
          <w:szCs w:val="22"/>
        </w:rPr>
      </w:pPr>
    </w:p>
    <w:p w14:paraId="2A6D9266" w14:textId="3A212D46" w:rsidR="00031E79" w:rsidRPr="00442D9E" w:rsidRDefault="00031E79" w:rsidP="00A60E43">
      <w:pPr>
        <w:pBdr>
          <w:top w:val="nil"/>
          <w:left w:val="nil"/>
          <w:bottom w:val="nil"/>
          <w:right w:val="nil"/>
          <w:between w:val="nil"/>
        </w:pBdr>
        <w:jc w:val="both"/>
        <w:rPr>
          <w:rFonts w:cs="Arial"/>
          <w:color w:val="000000" w:themeColor="text1"/>
          <w:sz w:val="22"/>
          <w:szCs w:val="22"/>
        </w:rPr>
      </w:pPr>
      <w:r w:rsidRPr="00442D9E">
        <w:rPr>
          <w:rFonts w:cs="Arial"/>
          <w:color w:val="000000" w:themeColor="text1"/>
          <w:sz w:val="22"/>
          <w:szCs w:val="22"/>
        </w:rPr>
        <w:t>There is scope for raising awareness of the purpose, scope and value of research, data collection and evaluation among communities, particularly priority populations, to understand the role of research and inform consent processes. Results from research and community-based data collection should be made available to priority populations to enhance the validity of that research, as well as enable communities to gain the benefits of the knowledge generated through the research process.</w:t>
      </w:r>
    </w:p>
    <w:p w14:paraId="12B4B69C" w14:textId="77777777" w:rsidR="00031E79" w:rsidRPr="00442D9E" w:rsidRDefault="00031E79" w:rsidP="00522C41">
      <w:pPr>
        <w:pStyle w:val="NormalWeb"/>
        <w:spacing w:before="0" w:beforeAutospacing="0" w:after="0" w:afterAutospacing="0"/>
        <w:jc w:val="both"/>
        <w:rPr>
          <w:rFonts w:cs="Arial"/>
          <w:color w:val="000000" w:themeColor="text1"/>
          <w:sz w:val="22"/>
          <w:szCs w:val="22"/>
        </w:rPr>
      </w:pPr>
    </w:p>
    <w:p w14:paraId="182E61D5" w14:textId="0FA4E58F" w:rsidR="001968C9" w:rsidRDefault="00031E79" w:rsidP="00A60E43">
      <w:pPr>
        <w:pStyle w:val="NormalWeb"/>
        <w:spacing w:before="0" w:beforeAutospacing="0" w:after="0" w:afterAutospacing="0"/>
        <w:jc w:val="both"/>
        <w:rPr>
          <w:rFonts w:cs="Arial"/>
          <w:sz w:val="22"/>
          <w:szCs w:val="22"/>
        </w:rPr>
      </w:pPr>
      <w:r w:rsidRPr="00442D9E">
        <w:rPr>
          <w:rFonts w:cs="Arial"/>
          <w:color w:val="000000" w:themeColor="text1"/>
          <w:sz w:val="22"/>
          <w:szCs w:val="22"/>
        </w:rPr>
        <w:t xml:space="preserve">Strains of multi-drug resistant gonorrhoea and shigella have been detected in Australia. Multi-drug resistant strains are a serious public health problem because infections can be difficult to treat. Surveillance of </w:t>
      </w:r>
      <w:r w:rsidR="00A9455A">
        <w:rPr>
          <w:rFonts w:cs="Arial"/>
          <w:color w:val="000000" w:themeColor="text1"/>
          <w:sz w:val="22"/>
          <w:szCs w:val="22"/>
        </w:rPr>
        <w:t xml:space="preserve">these </w:t>
      </w:r>
      <w:r w:rsidRPr="00442D9E">
        <w:rPr>
          <w:rFonts w:cs="Arial"/>
          <w:color w:val="000000" w:themeColor="text1"/>
          <w:sz w:val="22"/>
          <w:szCs w:val="22"/>
        </w:rPr>
        <w:t>infection</w:t>
      </w:r>
      <w:r w:rsidR="00A9455A">
        <w:rPr>
          <w:rFonts w:cs="Arial"/>
          <w:color w:val="000000" w:themeColor="text1"/>
          <w:sz w:val="22"/>
          <w:szCs w:val="22"/>
        </w:rPr>
        <w:t>s</w:t>
      </w:r>
      <w:r w:rsidRPr="00442D9E">
        <w:rPr>
          <w:rFonts w:cs="Arial"/>
          <w:color w:val="000000" w:themeColor="text1"/>
          <w:sz w:val="22"/>
          <w:szCs w:val="22"/>
        </w:rPr>
        <w:t xml:space="preserve"> is critical to prevent further spread. </w:t>
      </w:r>
    </w:p>
    <w:p w14:paraId="4A9CB1A4" w14:textId="77777777" w:rsidR="001968C9" w:rsidRDefault="001968C9">
      <w:pPr>
        <w:rPr>
          <w:rFonts w:cs="Arial"/>
          <w:sz w:val="22"/>
          <w:szCs w:val="22"/>
        </w:rPr>
      </w:pPr>
      <w:r>
        <w:rPr>
          <w:rFonts w:cs="Arial"/>
          <w:sz w:val="22"/>
          <w:szCs w:val="22"/>
        </w:rPr>
        <w:br w:type="page"/>
      </w:r>
    </w:p>
    <w:p w14:paraId="66F1C7D3" w14:textId="4B3D30F0" w:rsidR="00DA47DA" w:rsidRDefault="00DA47DA" w:rsidP="00DA47DA">
      <w:pPr>
        <w:pStyle w:val="Caption"/>
        <w:rPr>
          <w:rFonts w:eastAsia="Times New Roman" w:cs="Arial"/>
          <w:szCs w:val="22"/>
          <w:lang w:val="en-AU"/>
        </w:rPr>
      </w:pPr>
      <w:r>
        <w:lastRenderedPageBreak/>
        <w:t xml:space="preserve">Table </w:t>
      </w:r>
      <w:r>
        <w:fldChar w:fldCharType="begin"/>
      </w:r>
      <w:r>
        <w:instrText xml:space="preserve"> SEQ Table \* ARABIC </w:instrText>
      </w:r>
      <w:r>
        <w:fldChar w:fldCharType="separate"/>
      </w:r>
      <w:r w:rsidR="00853142">
        <w:rPr>
          <w:noProof/>
        </w:rPr>
        <w:t>8</w:t>
      </w:r>
      <w:r>
        <w:fldChar w:fldCharType="end"/>
      </w:r>
      <w:r>
        <w:t xml:space="preserve">: Key areas for action </w:t>
      </w:r>
      <w:r w:rsidR="006F2A58">
        <w:t>–</w:t>
      </w:r>
      <w:r>
        <w:t xml:space="preserve"> Data, Surveillance, Research and Evaluation</w:t>
      </w:r>
    </w:p>
    <w:tbl>
      <w:tblPr>
        <w:tblW w:w="0" w:type="auto"/>
        <w:tblBorders>
          <w:top w:val="single" w:sz="8" w:space="0" w:color="F7941D"/>
          <w:left w:val="single" w:sz="8" w:space="0" w:color="F7941D"/>
          <w:bottom w:val="single" w:sz="8" w:space="0" w:color="F7941D"/>
          <w:right w:val="single" w:sz="8" w:space="0" w:color="F7941D"/>
          <w:insideH w:val="single" w:sz="8" w:space="0" w:color="F7941D"/>
          <w:insideV w:val="single" w:sz="8" w:space="0" w:color="F7941D"/>
        </w:tblBorders>
        <w:tblLayout w:type="fixed"/>
        <w:tblCellMar>
          <w:left w:w="170" w:type="dxa"/>
          <w:right w:w="170" w:type="dxa"/>
        </w:tblCellMar>
        <w:tblLook w:val="0000" w:firstRow="0" w:lastRow="0" w:firstColumn="0" w:lastColumn="0" w:noHBand="0" w:noVBand="0"/>
      </w:tblPr>
      <w:tblGrid>
        <w:gridCol w:w="983"/>
        <w:gridCol w:w="8629"/>
      </w:tblGrid>
      <w:tr w:rsidR="001968C9" w14:paraId="6D02F021" w14:textId="77777777" w:rsidTr="00EB4D9F">
        <w:tc>
          <w:tcPr>
            <w:tcW w:w="9612" w:type="dxa"/>
            <w:gridSpan w:val="2"/>
            <w:shd w:val="clear" w:color="auto" w:fill="FE9648"/>
          </w:tcPr>
          <w:p w14:paraId="424505F9" w14:textId="586BB878" w:rsidR="001968C9" w:rsidRPr="00952A93" w:rsidRDefault="001968C9">
            <w:pPr>
              <w:pStyle w:val="BodyText"/>
              <w:spacing w:before="120"/>
              <w:jc w:val="both"/>
              <w:rPr>
                <w:rFonts w:cs="Arial"/>
                <w:b/>
                <w:bCs/>
                <w:color w:val="000000"/>
                <w:sz w:val="22"/>
                <w:szCs w:val="22"/>
              </w:rPr>
            </w:pPr>
            <w:r w:rsidRPr="00952A93">
              <w:rPr>
                <w:rFonts w:cs="Arial"/>
                <w:b/>
                <w:bCs/>
                <w:color w:val="000000"/>
                <w:sz w:val="22"/>
                <w:szCs w:val="22"/>
              </w:rPr>
              <w:t xml:space="preserve">KEY AREAS FOR ACTION – </w:t>
            </w:r>
            <w:r w:rsidRPr="001968C9">
              <w:rPr>
                <w:rFonts w:cs="Arial"/>
                <w:b/>
                <w:bCs/>
                <w:color w:val="000000"/>
                <w:sz w:val="22"/>
                <w:szCs w:val="22"/>
              </w:rPr>
              <w:t>Data, Surveillance, Research and Evaluation</w:t>
            </w:r>
          </w:p>
        </w:tc>
      </w:tr>
      <w:tr w:rsidR="001968C9" w14:paraId="0FCBB5BF" w14:textId="77777777">
        <w:tc>
          <w:tcPr>
            <w:tcW w:w="983" w:type="dxa"/>
            <w:tcBorders>
              <w:right w:val="nil"/>
            </w:tcBorders>
          </w:tcPr>
          <w:p w14:paraId="24C3178E" w14:textId="7D0D9CE3" w:rsidR="001968C9" w:rsidRPr="00771B0D" w:rsidRDefault="00F66C88" w:rsidP="001968C9">
            <w:pPr>
              <w:pStyle w:val="BodyText"/>
              <w:spacing w:before="120"/>
              <w:jc w:val="center"/>
              <w:rPr>
                <w:rFonts w:cs="Arial"/>
                <w:b/>
                <w:bCs/>
                <w:color w:val="F7941D"/>
                <w:sz w:val="56"/>
                <w:szCs w:val="56"/>
              </w:rPr>
            </w:pPr>
            <w:r>
              <w:rPr>
                <w:rFonts w:cs="Arial"/>
                <w:b/>
                <w:bCs/>
                <w:color w:val="F7941D"/>
                <w:sz w:val="56"/>
                <w:szCs w:val="56"/>
              </w:rPr>
              <w:t>2</w:t>
            </w:r>
            <w:r w:rsidR="002F3E68">
              <w:rPr>
                <w:rFonts w:cs="Arial"/>
                <w:b/>
                <w:bCs/>
                <w:color w:val="F7941D"/>
                <w:sz w:val="56"/>
                <w:szCs w:val="56"/>
              </w:rPr>
              <w:t>4</w:t>
            </w:r>
          </w:p>
        </w:tc>
        <w:tc>
          <w:tcPr>
            <w:tcW w:w="8629" w:type="dxa"/>
            <w:tcBorders>
              <w:left w:val="nil"/>
            </w:tcBorders>
          </w:tcPr>
          <w:p w14:paraId="6B6B55E9" w14:textId="40A09A63" w:rsidR="001968C9" w:rsidRPr="001968C9" w:rsidRDefault="00917794" w:rsidP="001968C9">
            <w:pPr>
              <w:pStyle w:val="BodyText"/>
              <w:spacing w:before="120"/>
              <w:rPr>
                <w:rFonts w:cs="Arial"/>
                <w:color w:val="000000" w:themeColor="text1"/>
                <w:sz w:val="22"/>
                <w:szCs w:val="22"/>
              </w:rPr>
            </w:pPr>
            <w:r>
              <w:rPr>
                <w:rFonts w:cs="Arial"/>
                <w:color w:val="000000" w:themeColor="text1"/>
                <w:sz w:val="22"/>
                <w:szCs w:val="22"/>
              </w:rPr>
              <w:t>Monitor trends in STI knowledge and attitudes, invest strategically in social research</w:t>
            </w:r>
            <w:r w:rsidR="003E338C">
              <w:rPr>
                <w:rFonts w:cs="Arial"/>
                <w:color w:val="000000" w:themeColor="text1"/>
                <w:sz w:val="22"/>
                <w:szCs w:val="22"/>
              </w:rPr>
              <w:t xml:space="preserve"> and science</w:t>
            </w:r>
            <w:r>
              <w:rPr>
                <w:rFonts w:cs="Arial"/>
                <w:color w:val="000000" w:themeColor="text1"/>
                <w:sz w:val="22"/>
                <w:szCs w:val="22"/>
              </w:rPr>
              <w:t xml:space="preserve"> to address gaps</w:t>
            </w:r>
            <w:r w:rsidR="003922E8">
              <w:rPr>
                <w:rFonts w:cs="Arial"/>
                <w:color w:val="000000" w:themeColor="text1"/>
                <w:sz w:val="22"/>
                <w:szCs w:val="22"/>
              </w:rPr>
              <w:t xml:space="preserve"> in prevention efforts</w:t>
            </w:r>
            <w:r w:rsidR="00C63BC1">
              <w:rPr>
                <w:rFonts w:cs="Arial"/>
                <w:color w:val="000000" w:themeColor="text1"/>
                <w:sz w:val="22"/>
                <w:szCs w:val="22"/>
              </w:rPr>
              <w:t xml:space="preserve"> within priority populations</w:t>
            </w:r>
            <w:r>
              <w:rPr>
                <w:rFonts w:cs="Arial"/>
                <w:color w:val="000000" w:themeColor="text1"/>
                <w:sz w:val="22"/>
                <w:szCs w:val="22"/>
              </w:rPr>
              <w:t xml:space="preserve">, and support interdisciplinary studies to inform priority actions and </w:t>
            </w:r>
            <w:r w:rsidR="00394AE9">
              <w:rPr>
                <w:rFonts w:cs="Arial"/>
                <w:color w:val="000000" w:themeColor="text1"/>
                <w:sz w:val="22"/>
                <w:szCs w:val="22"/>
              </w:rPr>
              <w:t xml:space="preserve">enhance STI normalisation efforts. </w:t>
            </w:r>
          </w:p>
        </w:tc>
      </w:tr>
      <w:tr w:rsidR="001968C9" w14:paraId="51DA584B" w14:textId="77777777">
        <w:tc>
          <w:tcPr>
            <w:tcW w:w="983" w:type="dxa"/>
            <w:tcBorders>
              <w:right w:val="nil"/>
            </w:tcBorders>
          </w:tcPr>
          <w:p w14:paraId="3B4BE918" w14:textId="19F3A389" w:rsidR="001968C9" w:rsidRPr="00771B0D" w:rsidRDefault="00F66C88" w:rsidP="001968C9">
            <w:pPr>
              <w:pStyle w:val="BodyText"/>
              <w:spacing w:before="120"/>
              <w:jc w:val="center"/>
              <w:rPr>
                <w:rFonts w:cs="Arial"/>
                <w:b/>
                <w:bCs/>
                <w:color w:val="F7941D"/>
                <w:sz w:val="56"/>
                <w:szCs w:val="56"/>
              </w:rPr>
            </w:pPr>
            <w:r>
              <w:rPr>
                <w:rFonts w:cs="Arial"/>
                <w:b/>
                <w:bCs/>
                <w:color w:val="F7941D"/>
                <w:sz w:val="56"/>
                <w:szCs w:val="56"/>
              </w:rPr>
              <w:t>2</w:t>
            </w:r>
            <w:r w:rsidR="002F3E68">
              <w:rPr>
                <w:rFonts w:cs="Arial"/>
                <w:b/>
                <w:bCs/>
                <w:color w:val="F7941D"/>
                <w:sz w:val="56"/>
                <w:szCs w:val="56"/>
              </w:rPr>
              <w:t>5</w:t>
            </w:r>
          </w:p>
        </w:tc>
        <w:tc>
          <w:tcPr>
            <w:tcW w:w="8629" w:type="dxa"/>
            <w:tcBorders>
              <w:left w:val="nil"/>
            </w:tcBorders>
          </w:tcPr>
          <w:p w14:paraId="6A3A18E7" w14:textId="409B376C" w:rsidR="001968C9" w:rsidRPr="001968C9" w:rsidRDefault="001968C9" w:rsidP="001968C9">
            <w:pPr>
              <w:pStyle w:val="BodyText"/>
              <w:spacing w:before="120"/>
              <w:rPr>
                <w:rFonts w:cs="Arial"/>
                <w:color w:val="000000" w:themeColor="text1"/>
                <w:sz w:val="22"/>
                <w:szCs w:val="22"/>
              </w:rPr>
            </w:pPr>
            <w:r w:rsidRPr="000F6D74">
              <w:rPr>
                <w:rFonts w:cs="Arial"/>
                <w:color w:val="000000" w:themeColor="text1"/>
                <w:sz w:val="22"/>
                <w:szCs w:val="22"/>
              </w:rPr>
              <w:t>Regularly update, maintain</w:t>
            </w:r>
            <w:r w:rsidR="006F2A58">
              <w:rPr>
                <w:rFonts w:cs="Arial"/>
                <w:color w:val="000000" w:themeColor="text1"/>
                <w:sz w:val="22"/>
                <w:szCs w:val="22"/>
              </w:rPr>
              <w:t>,</w:t>
            </w:r>
            <w:r w:rsidRPr="000F6D74">
              <w:rPr>
                <w:rFonts w:cs="Arial"/>
                <w:color w:val="000000" w:themeColor="text1"/>
                <w:sz w:val="22"/>
                <w:szCs w:val="22"/>
              </w:rPr>
              <w:t xml:space="preserve"> and promote the use of evidence-based national clinical guidelines and resources for STI testing and treatment to increase early detection</w:t>
            </w:r>
            <w:r w:rsidR="00DE63A8">
              <w:rPr>
                <w:rFonts w:cs="Arial"/>
                <w:color w:val="000000" w:themeColor="text1"/>
                <w:sz w:val="22"/>
                <w:szCs w:val="22"/>
              </w:rPr>
              <w:t>,</w:t>
            </w:r>
            <w:r w:rsidRPr="000F6D74">
              <w:rPr>
                <w:rFonts w:cs="Arial"/>
                <w:color w:val="000000" w:themeColor="text1"/>
                <w:sz w:val="22"/>
                <w:szCs w:val="22"/>
              </w:rPr>
              <w:t xml:space="preserve"> </w:t>
            </w:r>
            <w:r w:rsidR="00DE63A8">
              <w:rPr>
                <w:rFonts w:cs="Arial"/>
                <w:color w:val="000000" w:themeColor="text1"/>
                <w:sz w:val="22"/>
                <w:szCs w:val="22"/>
              </w:rPr>
              <w:t>i</w:t>
            </w:r>
            <w:r w:rsidRPr="000F6D74">
              <w:rPr>
                <w:rFonts w:cs="Arial"/>
                <w:color w:val="000000" w:themeColor="text1"/>
                <w:sz w:val="22"/>
                <w:szCs w:val="22"/>
              </w:rPr>
              <w:t>ncluding the identification of gaps in clinical management and the translation of those gaps into guidelines.</w:t>
            </w:r>
          </w:p>
        </w:tc>
      </w:tr>
      <w:tr w:rsidR="001968C9" w14:paraId="78B365B7" w14:textId="77777777">
        <w:tc>
          <w:tcPr>
            <w:tcW w:w="983" w:type="dxa"/>
            <w:tcBorders>
              <w:right w:val="nil"/>
            </w:tcBorders>
          </w:tcPr>
          <w:p w14:paraId="176407FE" w14:textId="17026D95" w:rsidR="001968C9" w:rsidRPr="00771B0D" w:rsidRDefault="00F66C88" w:rsidP="001968C9">
            <w:pPr>
              <w:pStyle w:val="BodyText"/>
              <w:spacing w:before="120"/>
              <w:jc w:val="center"/>
              <w:rPr>
                <w:rFonts w:cs="Arial"/>
                <w:b/>
                <w:bCs/>
                <w:color w:val="F7941D"/>
                <w:sz w:val="56"/>
                <w:szCs w:val="56"/>
              </w:rPr>
            </w:pPr>
            <w:r>
              <w:rPr>
                <w:rFonts w:cs="Arial"/>
                <w:b/>
                <w:bCs/>
                <w:color w:val="F7941D"/>
                <w:sz w:val="56"/>
                <w:szCs w:val="56"/>
              </w:rPr>
              <w:t>2</w:t>
            </w:r>
            <w:r w:rsidR="002F3E68">
              <w:rPr>
                <w:rFonts w:cs="Arial"/>
                <w:b/>
                <w:bCs/>
                <w:color w:val="F7941D"/>
                <w:sz w:val="56"/>
                <w:szCs w:val="56"/>
              </w:rPr>
              <w:t>6</w:t>
            </w:r>
          </w:p>
        </w:tc>
        <w:tc>
          <w:tcPr>
            <w:tcW w:w="8629" w:type="dxa"/>
            <w:tcBorders>
              <w:left w:val="nil"/>
            </w:tcBorders>
          </w:tcPr>
          <w:p w14:paraId="739365C0" w14:textId="42605977" w:rsidR="001968C9" w:rsidRPr="003E3B2A" w:rsidRDefault="001968C9" w:rsidP="001968C9">
            <w:pPr>
              <w:pStyle w:val="BodyText"/>
              <w:spacing w:before="120"/>
              <w:rPr>
                <w:rFonts w:cs="Arial"/>
                <w:color w:val="000000" w:themeColor="text1"/>
                <w:sz w:val="22"/>
                <w:szCs w:val="22"/>
              </w:rPr>
            </w:pPr>
            <w:r w:rsidRPr="000F6D74">
              <w:rPr>
                <w:rFonts w:cs="Arial"/>
                <w:color w:val="000000" w:themeColor="text1"/>
                <w:sz w:val="22"/>
                <w:szCs w:val="22"/>
              </w:rPr>
              <w:t>Identify gaps and develop systems to support a more coordinated, prompt response between jurisdictions, private pathology labs, sexual and reproductive health services</w:t>
            </w:r>
            <w:r w:rsidR="006F2A58">
              <w:rPr>
                <w:rFonts w:cs="Arial"/>
                <w:color w:val="000000" w:themeColor="text1"/>
                <w:sz w:val="22"/>
                <w:szCs w:val="22"/>
              </w:rPr>
              <w:t>,</w:t>
            </w:r>
            <w:r w:rsidRPr="000F6D74">
              <w:rPr>
                <w:rFonts w:cs="Arial"/>
                <w:color w:val="000000" w:themeColor="text1"/>
                <w:sz w:val="22"/>
                <w:szCs w:val="22"/>
              </w:rPr>
              <w:t xml:space="preserve"> and general practices to address STI issues, including real-time accessibility of surveillance data, improved communication channels with primary care, improved person-centred care and case management and notification systems, and specialised local and regional support staff.</w:t>
            </w:r>
          </w:p>
        </w:tc>
      </w:tr>
      <w:tr w:rsidR="00AB0CD4" w14:paraId="5D38F1C3" w14:textId="77777777">
        <w:tc>
          <w:tcPr>
            <w:tcW w:w="983" w:type="dxa"/>
            <w:tcBorders>
              <w:right w:val="nil"/>
            </w:tcBorders>
          </w:tcPr>
          <w:p w14:paraId="312C234D" w14:textId="606B5235" w:rsidR="00AB0CD4" w:rsidRDefault="00AB0CD4" w:rsidP="00AB0CD4">
            <w:pPr>
              <w:pStyle w:val="BodyText"/>
              <w:spacing w:before="120"/>
              <w:jc w:val="center"/>
              <w:rPr>
                <w:rFonts w:cs="Arial"/>
                <w:b/>
                <w:bCs/>
                <w:color w:val="F7941D"/>
                <w:sz w:val="56"/>
                <w:szCs w:val="56"/>
              </w:rPr>
            </w:pPr>
            <w:r>
              <w:rPr>
                <w:rFonts w:cs="Arial"/>
                <w:b/>
                <w:bCs/>
                <w:color w:val="F7941D"/>
                <w:sz w:val="56"/>
                <w:szCs w:val="56"/>
              </w:rPr>
              <w:t>2</w:t>
            </w:r>
            <w:r w:rsidR="0051145A">
              <w:rPr>
                <w:rFonts w:cs="Arial"/>
                <w:b/>
                <w:bCs/>
                <w:color w:val="F7941D"/>
                <w:sz w:val="56"/>
                <w:szCs w:val="56"/>
              </w:rPr>
              <w:t>7</w:t>
            </w:r>
          </w:p>
        </w:tc>
        <w:tc>
          <w:tcPr>
            <w:tcW w:w="8629" w:type="dxa"/>
            <w:tcBorders>
              <w:left w:val="nil"/>
            </w:tcBorders>
          </w:tcPr>
          <w:p w14:paraId="055306CF" w14:textId="7F1A9D20" w:rsidR="00AB0CD4" w:rsidRPr="000F6D74" w:rsidDel="00495825" w:rsidRDefault="00AB0CD4" w:rsidP="00AB0CD4">
            <w:pPr>
              <w:pStyle w:val="BodyText"/>
              <w:spacing w:before="120"/>
              <w:rPr>
                <w:rFonts w:cs="Arial"/>
                <w:color w:val="000000" w:themeColor="text1"/>
                <w:sz w:val="22"/>
                <w:szCs w:val="22"/>
              </w:rPr>
            </w:pPr>
            <w:r>
              <w:rPr>
                <w:rFonts w:cs="Arial"/>
                <w:color w:val="000000" w:themeColor="text1"/>
                <w:sz w:val="22"/>
                <w:szCs w:val="22"/>
              </w:rPr>
              <w:t xml:space="preserve">Identify and address gaps in data and evidence base to </w:t>
            </w:r>
            <w:r w:rsidR="00201FD9">
              <w:rPr>
                <w:rFonts w:cs="Arial"/>
                <w:color w:val="000000" w:themeColor="text1"/>
                <w:sz w:val="22"/>
                <w:szCs w:val="22"/>
              </w:rPr>
              <w:t xml:space="preserve">public health responses including </w:t>
            </w:r>
            <w:r>
              <w:rPr>
                <w:rFonts w:cs="Arial"/>
                <w:color w:val="000000" w:themeColor="text1"/>
                <w:sz w:val="22"/>
                <w:szCs w:val="22"/>
              </w:rPr>
              <w:t xml:space="preserve">the targets in this strategy, in particular </w:t>
            </w:r>
            <w:r w:rsidR="00644E64">
              <w:rPr>
                <w:rFonts w:cs="Arial"/>
                <w:color w:val="000000" w:themeColor="text1"/>
                <w:sz w:val="22"/>
                <w:szCs w:val="22"/>
              </w:rPr>
              <w:t xml:space="preserve">those </w:t>
            </w:r>
            <w:r>
              <w:rPr>
                <w:rFonts w:cs="Arial"/>
                <w:color w:val="000000" w:themeColor="text1"/>
                <w:sz w:val="22"/>
                <w:szCs w:val="22"/>
              </w:rPr>
              <w:t>addressing availability, equity and provision of accessible sexual health care.</w:t>
            </w:r>
          </w:p>
        </w:tc>
      </w:tr>
    </w:tbl>
    <w:p w14:paraId="22ACD29A" w14:textId="77777777" w:rsidR="00031E79" w:rsidRPr="00442D9E" w:rsidRDefault="00031E79" w:rsidP="00A60E43">
      <w:pPr>
        <w:pStyle w:val="NormalWeb"/>
        <w:spacing w:before="0" w:beforeAutospacing="0" w:after="0" w:afterAutospacing="0"/>
        <w:jc w:val="both"/>
        <w:rPr>
          <w:rFonts w:cs="Arial"/>
          <w:b/>
          <w:bCs/>
          <w:sz w:val="22"/>
          <w:szCs w:val="22"/>
        </w:rPr>
      </w:pPr>
    </w:p>
    <w:p w14:paraId="165827C6" w14:textId="779D000C" w:rsidR="006E6992" w:rsidRDefault="00031E79" w:rsidP="005313D8">
      <w:pPr>
        <w:rPr>
          <w:rFonts w:cs="Arial"/>
          <w:sz w:val="22"/>
          <w:szCs w:val="22"/>
        </w:rPr>
      </w:pPr>
      <w:r w:rsidRPr="00442D9E">
        <w:rPr>
          <w:rFonts w:cs="Arial"/>
          <w:sz w:val="22"/>
          <w:szCs w:val="22"/>
        </w:rPr>
        <w:t>Outcomes sought from this priority area include improvement of data, surveillance</w:t>
      </w:r>
      <w:r w:rsidR="00881F21">
        <w:rPr>
          <w:rFonts w:cs="Arial"/>
          <w:sz w:val="22"/>
          <w:szCs w:val="22"/>
        </w:rPr>
        <w:t>,</w:t>
      </w:r>
      <w:r w:rsidRPr="00442D9E">
        <w:rPr>
          <w:rFonts w:cs="Arial"/>
          <w:sz w:val="22"/>
          <w:szCs w:val="22"/>
        </w:rPr>
        <w:t xml:space="preserve"> evaluation and addressing gaps in research</w:t>
      </w:r>
      <w:r w:rsidR="00881F21">
        <w:rPr>
          <w:rFonts w:cs="Arial"/>
          <w:sz w:val="22"/>
          <w:szCs w:val="22"/>
        </w:rPr>
        <w:t xml:space="preserve">. This </w:t>
      </w:r>
      <w:r w:rsidRPr="00442D9E">
        <w:rPr>
          <w:rFonts w:cs="Arial"/>
          <w:sz w:val="22"/>
          <w:szCs w:val="22"/>
        </w:rPr>
        <w:t>support</w:t>
      </w:r>
      <w:r w:rsidR="00881F21">
        <w:rPr>
          <w:rFonts w:cs="Arial"/>
          <w:sz w:val="22"/>
          <w:szCs w:val="22"/>
        </w:rPr>
        <w:t>s</w:t>
      </w:r>
      <w:r w:rsidRPr="00442D9E">
        <w:rPr>
          <w:rFonts w:cs="Arial"/>
          <w:sz w:val="22"/>
          <w:szCs w:val="22"/>
        </w:rPr>
        <w:t xml:space="preserve"> the achievement of Goal </w:t>
      </w:r>
      <w:r w:rsidR="001B7150">
        <w:rPr>
          <w:rFonts w:cs="Arial"/>
          <w:sz w:val="22"/>
          <w:szCs w:val="22"/>
        </w:rPr>
        <w:t xml:space="preserve">5 </w:t>
      </w:r>
      <w:r w:rsidRPr="00442D9E">
        <w:rPr>
          <w:rFonts w:cs="Arial"/>
          <w:sz w:val="22"/>
          <w:szCs w:val="22"/>
        </w:rPr>
        <w:t>(</w:t>
      </w:r>
      <w:r w:rsidRPr="00442D9E">
        <w:rPr>
          <w:rFonts w:cs="Arial"/>
          <w:color w:val="000000" w:themeColor="text1"/>
          <w:sz w:val="22"/>
          <w:szCs w:val="22"/>
        </w:rPr>
        <w:t xml:space="preserve">enhance research </w:t>
      </w:r>
      <w:r w:rsidR="004E2E8A">
        <w:rPr>
          <w:rFonts w:cs="Arial"/>
          <w:color w:val="000000" w:themeColor="text1"/>
          <w:sz w:val="22"/>
          <w:szCs w:val="22"/>
        </w:rPr>
        <w:t>for</w:t>
      </w:r>
      <w:r w:rsidRPr="00442D9E">
        <w:rPr>
          <w:rFonts w:cs="Arial"/>
          <w:color w:val="000000" w:themeColor="text1"/>
          <w:sz w:val="22"/>
          <w:szCs w:val="22"/>
        </w:rPr>
        <w:t xml:space="preserve"> STI)</w:t>
      </w:r>
      <w:r w:rsidRPr="00442D9E">
        <w:rPr>
          <w:rFonts w:cs="Arial"/>
          <w:sz w:val="22"/>
          <w:szCs w:val="22"/>
        </w:rPr>
        <w:t xml:space="preserve"> of this </w:t>
      </w:r>
      <w:r w:rsidR="000D672F">
        <w:rPr>
          <w:rFonts w:cs="Arial"/>
          <w:sz w:val="22"/>
          <w:szCs w:val="22"/>
        </w:rPr>
        <w:t>S</w:t>
      </w:r>
      <w:r w:rsidRPr="00442D9E">
        <w:rPr>
          <w:rFonts w:cs="Arial"/>
          <w:sz w:val="22"/>
          <w:szCs w:val="22"/>
        </w:rPr>
        <w:t xml:space="preserve">trategy. </w:t>
      </w:r>
    </w:p>
    <w:p w14:paraId="561CF691" w14:textId="1F9653D9" w:rsidR="00647FA8" w:rsidRDefault="00647FA8">
      <w:pPr>
        <w:rPr>
          <w:rFonts w:cs="Arial"/>
          <w:sz w:val="22"/>
          <w:szCs w:val="22"/>
        </w:rPr>
      </w:pPr>
    </w:p>
    <w:p w14:paraId="3FAC94CB" w14:textId="1E7F9F01" w:rsidR="00023A55" w:rsidRPr="0085184A" w:rsidRDefault="001D4D6D" w:rsidP="0085184A">
      <w:pPr>
        <w:pStyle w:val="Heading1"/>
        <w:numPr>
          <w:ilvl w:val="0"/>
          <w:numId w:val="7"/>
        </w:numPr>
        <w:ind w:left="567" w:hanging="567"/>
      </w:pPr>
      <w:bookmarkStart w:id="118" w:name="_Toc138151617"/>
      <w:bookmarkStart w:id="119" w:name="_Toc138173827"/>
      <w:bookmarkStart w:id="120" w:name="_Toc150160969"/>
      <w:bookmarkStart w:id="121" w:name="_Toc163737195"/>
      <w:r w:rsidRPr="00442D9E">
        <w:t xml:space="preserve">Implementing this </w:t>
      </w:r>
      <w:r w:rsidR="001C10D4" w:rsidRPr="00442D9E">
        <w:t>s</w:t>
      </w:r>
      <w:r w:rsidRPr="00442D9E">
        <w:t>trategy</w:t>
      </w:r>
      <w:bookmarkEnd w:id="118"/>
      <w:bookmarkEnd w:id="119"/>
      <w:bookmarkEnd w:id="120"/>
      <w:bookmarkEnd w:id="121"/>
    </w:p>
    <w:p w14:paraId="026AE386" w14:textId="24C39DA2" w:rsidR="00C774F6" w:rsidRPr="0085184A" w:rsidRDefault="00C774F6" w:rsidP="00397CF0">
      <w:pPr>
        <w:pStyle w:val="Heading2"/>
        <w:numPr>
          <w:ilvl w:val="1"/>
          <w:numId w:val="7"/>
        </w:numPr>
        <w:ind w:left="567" w:hanging="567"/>
        <w:rPr>
          <w:rFonts w:ascii="Arial" w:hAnsi="Arial" w:cs="Arial"/>
        </w:rPr>
      </w:pPr>
      <w:bookmarkStart w:id="122" w:name="_Toc138151618"/>
      <w:bookmarkStart w:id="123" w:name="_Toc138173828"/>
      <w:bookmarkStart w:id="124" w:name="_Toc146813408"/>
      <w:bookmarkStart w:id="125" w:name="_Toc150160970"/>
      <w:bookmarkStart w:id="126" w:name="_Toc163737196"/>
      <w:r w:rsidRPr="00442D9E">
        <w:rPr>
          <w:rFonts w:ascii="Arial" w:hAnsi="Arial" w:cs="Arial"/>
        </w:rPr>
        <w:t>Leadership, partnership</w:t>
      </w:r>
      <w:r w:rsidR="00323864">
        <w:rPr>
          <w:rFonts w:ascii="Arial" w:hAnsi="Arial" w:cs="Arial"/>
        </w:rPr>
        <w:t>,</w:t>
      </w:r>
      <w:r w:rsidRPr="00442D9E">
        <w:rPr>
          <w:rFonts w:ascii="Arial" w:hAnsi="Arial" w:cs="Arial"/>
        </w:rPr>
        <w:t xml:space="preserve"> and connections to community</w:t>
      </w:r>
      <w:bookmarkEnd w:id="122"/>
      <w:bookmarkEnd w:id="123"/>
      <w:bookmarkEnd w:id="124"/>
      <w:bookmarkEnd w:id="125"/>
      <w:bookmarkEnd w:id="126"/>
    </w:p>
    <w:p w14:paraId="72E275DF" w14:textId="77777777" w:rsidR="009A4FCA" w:rsidRPr="00442D9E" w:rsidRDefault="00007C5C" w:rsidP="005D4100">
      <w:pPr>
        <w:pStyle w:val="BodyText"/>
        <w:spacing w:after="0"/>
        <w:jc w:val="both"/>
        <w:rPr>
          <w:rFonts w:cs="Arial"/>
          <w:color w:val="000000" w:themeColor="text1"/>
          <w:sz w:val="22"/>
          <w:szCs w:val="22"/>
        </w:rPr>
      </w:pPr>
      <w:r w:rsidRPr="00442D9E">
        <w:rPr>
          <w:rFonts w:cs="Arial"/>
          <w:color w:val="000000" w:themeColor="text1"/>
          <w:sz w:val="22"/>
          <w:szCs w:val="22"/>
        </w:rPr>
        <w:t xml:space="preserve">Australia’s response to STI is built on a model of partnership between affected communities, governments, peak organisations, health and community organisations, researchers, and the multidisciplinary workforce. </w:t>
      </w:r>
    </w:p>
    <w:p w14:paraId="3644810F" w14:textId="77777777" w:rsidR="009B0717" w:rsidRDefault="009B0717" w:rsidP="008F3D50">
      <w:pPr>
        <w:pStyle w:val="BodyText"/>
        <w:spacing w:after="0"/>
        <w:jc w:val="both"/>
        <w:rPr>
          <w:rFonts w:cs="Arial"/>
          <w:color w:val="000000" w:themeColor="text1"/>
          <w:sz w:val="22"/>
          <w:szCs w:val="22"/>
        </w:rPr>
      </w:pPr>
    </w:p>
    <w:p w14:paraId="705673F7" w14:textId="651B71BD" w:rsidR="009A4FCA" w:rsidRPr="001A540B" w:rsidRDefault="009A4FCA" w:rsidP="008F3D50">
      <w:pPr>
        <w:pStyle w:val="BodyText"/>
        <w:spacing w:after="0"/>
        <w:jc w:val="both"/>
        <w:rPr>
          <w:rFonts w:cs="Arial"/>
          <w:color w:val="000000" w:themeColor="text1"/>
          <w:sz w:val="22"/>
          <w:szCs w:val="22"/>
        </w:rPr>
      </w:pPr>
      <w:r w:rsidRPr="001A540B">
        <w:rPr>
          <w:rFonts w:cs="Arial"/>
          <w:color w:val="000000" w:themeColor="text1"/>
          <w:sz w:val="22"/>
          <w:szCs w:val="22"/>
        </w:rPr>
        <w:t>The Australian Government is committed to providing strong national leadership by working across portfolios and jurisdictions to achieve the goals of this Strategy. The Australian Government Department of Health and Aged Care leads the coordination of the national response to STI under the National STI Strategy 202</w:t>
      </w:r>
      <w:r w:rsidR="001A4550">
        <w:rPr>
          <w:rFonts w:cs="Arial"/>
          <w:color w:val="000000" w:themeColor="text1"/>
          <w:sz w:val="22"/>
          <w:szCs w:val="22"/>
        </w:rPr>
        <w:t>4</w:t>
      </w:r>
      <w:r w:rsidRPr="001A540B">
        <w:rPr>
          <w:rFonts w:cs="Arial"/>
          <w:color w:val="000000" w:themeColor="text1"/>
          <w:sz w:val="22"/>
          <w:szCs w:val="22"/>
        </w:rPr>
        <w:t xml:space="preserve">-2030. The success of this Strategy is contingent on productive partnerships between </w:t>
      </w:r>
      <w:r w:rsidR="00414CD7" w:rsidRPr="001A540B">
        <w:rPr>
          <w:rFonts w:cs="Arial"/>
          <w:color w:val="000000" w:themeColor="text1"/>
          <w:sz w:val="22"/>
          <w:szCs w:val="22"/>
        </w:rPr>
        <w:t>Commonwealth</w:t>
      </w:r>
      <w:r w:rsidRPr="001A540B">
        <w:rPr>
          <w:rFonts w:cs="Arial"/>
          <w:color w:val="000000" w:themeColor="text1"/>
          <w:sz w:val="22"/>
          <w:szCs w:val="22"/>
        </w:rPr>
        <w:t>, state and territory governments and partners, including community peak organisations, priority populations and affected communities, health workers, researchers</w:t>
      </w:r>
      <w:r w:rsidR="00323864" w:rsidRPr="001A540B">
        <w:rPr>
          <w:rFonts w:cs="Arial"/>
          <w:color w:val="000000" w:themeColor="text1"/>
          <w:sz w:val="22"/>
          <w:szCs w:val="22"/>
        </w:rPr>
        <w:t>,</w:t>
      </w:r>
      <w:r w:rsidRPr="001A540B">
        <w:rPr>
          <w:rFonts w:cs="Arial"/>
          <w:color w:val="000000" w:themeColor="text1"/>
          <w:sz w:val="22"/>
          <w:szCs w:val="22"/>
        </w:rPr>
        <w:t xml:space="preserve"> and others. In the case of research on STI, it is imperative that this is conducted in partnership with communities and is aligned with the priorities of the five national strategies.</w:t>
      </w:r>
    </w:p>
    <w:p w14:paraId="58D3E25D" w14:textId="6A7B81C1" w:rsidR="00414CD7" w:rsidRPr="001A540B" w:rsidRDefault="00414CD7" w:rsidP="005D4100">
      <w:pPr>
        <w:pStyle w:val="BodyText"/>
        <w:spacing w:after="0"/>
        <w:jc w:val="both"/>
        <w:rPr>
          <w:rFonts w:cs="Arial"/>
          <w:color w:val="000000" w:themeColor="text1"/>
          <w:sz w:val="22"/>
          <w:szCs w:val="22"/>
        </w:rPr>
      </w:pPr>
    </w:p>
    <w:p w14:paraId="3DFFFE56" w14:textId="0C4A7602" w:rsidR="006E09C7" w:rsidRDefault="00414CD7" w:rsidP="005D4100">
      <w:pPr>
        <w:pStyle w:val="BodyText"/>
        <w:spacing w:after="0"/>
        <w:jc w:val="both"/>
        <w:rPr>
          <w:rFonts w:cs="Arial"/>
          <w:color w:val="000000" w:themeColor="text1"/>
          <w:sz w:val="22"/>
          <w:szCs w:val="22"/>
        </w:rPr>
      </w:pPr>
      <w:r w:rsidRPr="001A540B">
        <w:rPr>
          <w:rFonts w:cs="Arial"/>
          <w:color w:val="000000" w:themeColor="text1"/>
          <w:sz w:val="22"/>
          <w:szCs w:val="22"/>
        </w:rPr>
        <w:t>The Fifth National STI Strategy 202</w:t>
      </w:r>
      <w:r w:rsidR="001A4550">
        <w:rPr>
          <w:rFonts w:cs="Arial"/>
          <w:color w:val="000000" w:themeColor="text1"/>
          <w:sz w:val="22"/>
          <w:szCs w:val="22"/>
        </w:rPr>
        <w:t>4</w:t>
      </w:r>
      <w:r w:rsidRPr="001A540B">
        <w:rPr>
          <w:rFonts w:cs="Arial"/>
          <w:color w:val="000000" w:themeColor="text1"/>
          <w:sz w:val="22"/>
          <w:szCs w:val="22"/>
        </w:rPr>
        <w:t xml:space="preserve">-2030 is a shared responsibility between </w:t>
      </w:r>
      <w:r w:rsidR="001A4550">
        <w:rPr>
          <w:rFonts w:cs="Arial"/>
          <w:color w:val="000000" w:themeColor="text1"/>
          <w:sz w:val="22"/>
          <w:szCs w:val="22"/>
        </w:rPr>
        <w:t>g</w:t>
      </w:r>
      <w:r w:rsidRPr="001A540B">
        <w:rPr>
          <w:rFonts w:cs="Arial"/>
          <w:color w:val="000000" w:themeColor="text1"/>
          <w:sz w:val="22"/>
          <w:szCs w:val="22"/>
        </w:rPr>
        <w:t>overnments, community</w:t>
      </w:r>
      <w:r w:rsidR="009425BF" w:rsidRPr="001A540B">
        <w:rPr>
          <w:rFonts w:cs="Arial"/>
          <w:color w:val="000000" w:themeColor="text1"/>
          <w:sz w:val="22"/>
          <w:szCs w:val="22"/>
        </w:rPr>
        <w:t>,</w:t>
      </w:r>
      <w:r w:rsidRPr="001A540B">
        <w:rPr>
          <w:rFonts w:cs="Arial"/>
          <w:color w:val="000000" w:themeColor="text1"/>
          <w:sz w:val="22"/>
          <w:szCs w:val="22"/>
        </w:rPr>
        <w:t xml:space="preserve"> and the health sector to provide evidence-informed interventions built on high quality research, surveillance, monitoring, evaluation,</w:t>
      </w:r>
      <w:r w:rsidRPr="00442D9E">
        <w:rPr>
          <w:rFonts w:cs="Arial"/>
          <w:color w:val="000000" w:themeColor="text1"/>
          <w:sz w:val="22"/>
          <w:szCs w:val="22"/>
        </w:rPr>
        <w:t xml:space="preserve"> and the expertise of priority populations, affected comm</w:t>
      </w:r>
      <w:r w:rsidR="006913DA" w:rsidRPr="00442D9E">
        <w:rPr>
          <w:rFonts w:cs="Arial"/>
          <w:color w:val="000000" w:themeColor="text1"/>
          <w:sz w:val="22"/>
          <w:szCs w:val="22"/>
        </w:rPr>
        <w:t xml:space="preserve">unities and community peak organisations. As such, continuous monitoring and evaluation </w:t>
      </w:r>
      <w:r w:rsidR="00CC1F98" w:rsidRPr="00442D9E">
        <w:rPr>
          <w:rFonts w:cs="Arial"/>
          <w:color w:val="000000" w:themeColor="text1"/>
          <w:sz w:val="22"/>
          <w:szCs w:val="22"/>
        </w:rPr>
        <w:t xml:space="preserve">of current and emerging interventions will be essential in enabling cost-effective decision making and guiding existing partnerships to implement agreed directions. </w:t>
      </w:r>
    </w:p>
    <w:p w14:paraId="5D2F7DAA" w14:textId="77777777" w:rsidR="006E09C7" w:rsidRDefault="006E09C7" w:rsidP="005D4100">
      <w:pPr>
        <w:pStyle w:val="BodyText"/>
        <w:spacing w:after="0"/>
        <w:jc w:val="both"/>
        <w:rPr>
          <w:rFonts w:cs="Arial"/>
          <w:color w:val="000000" w:themeColor="text1"/>
          <w:sz w:val="22"/>
          <w:szCs w:val="22"/>
        </w:rPr>
      </w:pPr>
    </w:p>
    <w:p w14:paraId="3057C6C1" w14:textId="1F9DE207" w:rsidR="008E223B" w:rsidRPr="00442D9E" w:rsidRDefault="008E223B" w:rsidP="008E223B">
      <w:pPr>
        <w:pStyle w:val="BodyText"/>
        <w:spacing w:after="0"/>
        <w:jc w:val="both"/>
        <w:rPr>
          <w:rFonts w:cs="Arial"/>
          <w:color w:val="000000" w:themeColor="text1"/>
          <w:sz w:val="22"/>
          <w:szCs w:val="22"/>
        </w:rPr>
      </w:pPr>
      <w:r>
        <w:rPr>
          <w:rFonts w:cs="Arial"/>
          <w:color w:val="000000" w:themeColor="text1"/>
          <w:sz w:val="22"/>
          <w:szCs w:val="22"/>
        </w:rPr>
        <w:t xml:space="preserve">Achieving implementation of the actions in this strategy and achievement of targets </w:t>
      </w:r>
      <w:r w:rsidRPr="00442D9E">
        <w:rPr>
          <w:rFonts w:cs="Arial"/>
          <w:color w:val="000000" w:themeColor="text1"/>
          <w:sz w:val="22"/>
          <w:szCs w:val="22"/>
        </w:rPr>
        <w:t>requires investment and mobilisation of resources to be across all levels of government</w:t>
      </w:r>
      <w:r>
        <w:rPr>
          <w:rFonts w:cs="Arial"/>
          <w:color w:val="000000" w:themeColor="text1"/>
          <w:sz w:val="22"/>
          <w:szCs w:val="22"/>
        </w:rPr>
        <w:t>,</w:t>
      </w:r>
      <w:r w:rsidRPr="00442D9E">
        <w:rPr>
          <w:rFonts w:cs="Arial"/>
          <w:color w:val="000000" w:themeColor="text1"/>
          <w:sz w:val="22"/>
          <w:szCs w:val="22"/>
        </w:rPr>
        <w:t xml:space="preserve"> from national direction to local jurisdictions. This </w:t>
      </w:r>
      <w:r>
        <w:rPr>
          <w:rFonts w:cs="Arial"/>
          <w:color w:val="000000" w:themeColor="text1"/>
          <w:sz w:val="22"/>
          <w:szCs w:val="22"/>
        </w:rPr>
        <w:t xml:space="preserve">strategy is a coordinating mechanism that </w:t>
      </w:r>
      <w:r w:rsidRPr="00442D9E">
        <w:rPr>
          <w:rFonts w:cs="Arial"/>
          <w:color w:val="000000" w:themeColor="text1"/>
          <w:sz w:val="22"/>
          <w:szCs w:val="22"/>
        </w:rPr>
        <w:t>ensures that resources are utilised to achieve maximum impact and desired outcomes.</w:t>
      </w:r>
    </w:p>
    <w:p w14:paraId="0BF0DB0D" w14:textId="77777777" w:rsidR="002609FB" w:rsidRPr="00442D9E" w:rsidRDefault="002609FB" w:rsidP="005D4100">
      <w:pPr>
        <w:pStyle w:val="BodyText"/>
        <w:spacing w:after="0"/>
        <w:jc w:val="both"/>
        <w:rPr>
          <w:rFonts w:cs="Arial"/>
          <w:color w:val="000000" w:themeColor="text1"/>
          <w:sz w:val="22"/>
          <w:szCs w:val="22"/>
        </w:rPr>
      </w:pPr>
    </w:p>
    <w:p w14:paraId="323CF14C" w14:textId="6C0503A5" w:rsidR="00BD5EAE" w:rsidRPr="0085184A" w:rsidRDefault="001D4D6D" w:rsidP="0085184A">
      <w:pPr>
        <w:pStyle w:val="Heading2"/>
        <w:numPr>
          <w:ilvl w:val="1"/>
          <w:numId w:val="7"/>
        </w:numPr>
        <w:ind w:left="567" w:hanging="567"/>
        <w:rPr>
          <w:rFonts w:ascii="Arial" w:hAnsi="Arial" w:cs="Arial"/>
        </w:rPr>
      </w:pPr>
      <w:bookmarkStart w:id="127" w:name="_Toc138151621"/>
      <w:bookmarkStart w:id="128" w:name="_Toc138173831"/>
      <w:bookmarkStart w:id="129" w:name="_Toc146813409"/>
      <w:bookmarkStart w:id="130" w:name="_Toc150160971"/>
      <w:bookmarkStart w:id="131" w:name="_Toc163737197"/>
      <w:r w:rsidRPr="00442D9E">
        <w:rPr>
          <w:rFonts w:ascii="Arial" w:hAnsi="Arial" w:cs="Arial"/>
        </w:rPr>
        <w:t>Surveillance and monitoring plan</w:t>
      </w:r>
      <w:bookmarkEnd w:id="127"/>
      <w:bookmarkEnd w:id="128"/>
      <w:bookmarkEnd w:id="129"/>
      <w:bookmarkEnd w:id="130"/>
      <w:bookmarkEnd w:id="131"/>
    </w:p>
    <w:p w14:paraId="69782485" w14:textId="0EE136F5" w:rsidR="00F10D5F" w:rsidRDefault="00B96FFA" w:rsidP="00A60E43">
      <w:pPr>
        <w:pStyle w:val="BodyText"/>
        <w:spacing w:after="0"/>
        <w:jc w:val="both"/>
        <w:rPr>
          <w:rFonts w:cs="Arial"/>
          <w:color w:val="000000" w:themeColor="text1"/>
          <w:sz w:val="22"/>
          <w:szCs w:val="22"/>
        </w:rPr>
      </w:pPr>
      <w:r w:rsidRPr="00442D9E">
        <w:rPr>
          <w:rFonts w:cs="Arial"/>
          <w:color w:val="000000" w:themeColor="text1"/>
          <w:sz w:val="22"/>
          <w:szCs w:val="22"/>
        </w:rPr>
        <w:t>This Strategy spans 202</w:t>
      </w:r>
      <w:r w:rsidR="001F1F6A">
        <w:rPr>
          <w:rFonts w:cs="Arial"/>
          <w:color w:val="000000" w:themeColor="text1"/>
          <w:sz w:val="22"/>
          <w:szCs w:val="22"/>
        </w:rPr>
        <w:t>4</w:t>
      </w:r>
      <w:r w:rsidRPr="00442D9E">
        <w:rPr>
          <w:rFonts w:cs="Arial"/>
          <w:color w:val="000000" w:themeColor="text1"/>
          <w:sz w:val="22"/>
          <w:szCs w:val="22"/>
        </w:rPr>
        <w:t>-2030 and represents a departure from the shorter lifespan of previous strategies. The targets</w:t>
      </w:r>
      <w:r w:rsidR="002F3E68">
        <w:rPr>
          <w:rFonts w:cs="Arial"/>
          <w:color w:val="000000" w:themeColor="text1"/>
          <w:sz w:val="22"/>
          <w:szCs w:val="22"/>
        </w:rPr>
        <w:t xml:space="preserve"> </w:t>
      </w:r>
      <w:r w:rsidRPr="00442D9E">
        <w:rPr>
          <w:rFonts w:cs="Arial"/>
          <w:color w:val="000000" w:themeColor="text1"/>
          <w:sz w:val="22"/>
          <w:szCs w:val="22"/>
        </w:rPr>
        <w:t xml:space="preserve">will provide data from which a comprehensive review of progress can be undertaken. This process and timing are consistent with the </w:t>
      </w:r>
      <w:r w:rsidR="00550963">
        <w:rPr>
          <w:rFonts w:cs="Arial"/>
          <w:color w:val="000000" w:themeColor="text1"/>
          <w:sz w:val="22"/>
          <w:szCs w:val="22"/>
        </w:rPr>
        <w:t xml:space="preserve">WHO </w:t>
      </w:r>
      <w:r w:rsidRPr="00442D9E">
        <w:rPr>
          <w:rFonts w:cs="Arial"/>
          <w:color w:val="000000" w:themeColor="text1"/>
          <w:sz w:val="22"/>
          <w:szCs w:val="22"/>
        </w:rPr>
        <w:t xml:space="preserve">global strategy. </w:t>
      </w:r>
    </w:p>
    <w:p w14:paraId="1320A6C7" w14:textId="77777777" w:rsidR="00F10D5F" w:rsidRDefault="00F10D5F" w:rsidP="00A60E43">
      <w:pPr>
        <w:pStyle w:val="BodyText"/>
        <w:spacing w:after="0"/>
        <w:jc w:val="both"/>
        <w:rPr>
          <w:rFonts w:cs="Arial"/>
          <w:color w:val="000000" w:themeColor="text1"/>
          <w:sz w:val="22"/>
          <w:szCs w:val="22"/>
        </w:rPr>
      </w:pPr>
    </w:p>
    <w:p w14:paraId="4FD4A042" w14:textId="6CBB4B45" w:rsidR="00E942B8" w:rsidRPr="00442D9E" w:rsidRDefault="00B96FFA" w:rsidP="00A60E43">
      <w:pPr>
        <w:pStyle w:val="BodyText"/>
        <w:spacing w:after="0"/>
        <w:jc w:val="both"/>
        <w:rPr>
          <w:rFonts w:cs="Arial"/>
          <w:color w:val="000000" w:themeColor="text1"/>
          <w:sz w:val="22"/>
          <w:szCs w:val="22"/>
        </w:rPr>
      </w:pPr>
      <w:r w:rsidRPr="00442D9E">
        <w:rPr>
          <w:rFonts w:cs="Arial"/>
          <w:color w:val="000000" w:themeColor="text1"/>
          <w:sz w:val="22"/>
          <w:szCs w:val="22"/>
        </w:rPr>
        <w:t xml:space="preserve">The identification of areas in need of improvement and action is an essential part of remaining accountable to the 2030 elimination goals, as well as ensuring the ongoing relevance of key aspects of the </w:t>
      </w:r>
      <w:r w:rsidR="00527F01">
        <w:rPr>
          <w:rFonts w:cs="Arial"/>
          <w:color w:val="000000" w:themeColor="text1"/>
          <w:sz w:val="22"/>
          <w:szCs w:val="22"/>
        </w:rPr>
        <w:t>S</w:t>
      </w:r>
      <w:r w:rsidRPr="00442D9E">
        <w:rPr>
          <w:rFonts w:cs="Arial"/>
          <w:color w:val="000000" w:themeColor="text1"/>
          <w:sz w:val="22"/>
          <w:szCs w:val="22"/>
        </w:rPr>
        <w:t>trateg</w:t>
      </w:r>
      <w:r w:rsidR="00527F01">
        <w:rPr>
          <w:rFonts w:cs="Arial"/>
          <w:color w:val="000000" w:themeColor="text1"/>
          <w:sz w:val="22"/>
          <w:szCs w:val="22"/>
        </w:rPr>
        <w:t>y</w:t>
      </w:r>
      <w:r w:rsidRPr="00442D9E">
        <w:rPr>
          <w:rFonts w:cs="Arial"/>
          <w:color w:val="000000" w:themeColor="text1"/>
          <w:sz w:val="22"/>
          <w:szCs w:val="22"/>
        </w:rPr>
        <w:t xml:space="preserve">. The </w:t>
      </w:r>
      <w:r w:rsidR="00527F01">
        <w:rPr>
          <w:rFonts w:cs="Arial"/>
          <w:color w:val="000000" w:themeColor="text1"/>
          <w:sz w:val="22"/>
          <w:szCs w:val="22"/>
        </w:rPr>
        <w:t>S</w:t>
      </w:r>
      <w:r w:rsidRPr="00442D9E">
        <w:rPr>
          <w:rFonts w:cs="Arial"/>
          <w:color w:val="000000" w:themeColor="text1"/>
          <w:sz w:val="22"/>
          <w:szCs w:val="22"/>
        </w:rPr>
        <w:t>trateg</w:t>
      </w:r>
      <w:r w:rsidR="00527F01">
        <w:rPr>
          <w:rFonts w:cs="Arial"/>
          <w:color w:val="000000" w:themeColor="text1"/>
          <w:sz w:val="22"/>
          <w:szCs w:val="22"/>
        </w:rPr>
        <w:t>y</w:t>
      </w:r>
      <w:r w:rsidRPr="00442D9E">
        <w:rPr>
          <w:rFonts w:cs="Arial"/>
          <w:color w:val="000000" w:themeColor="text1"/>
          <w:sz w:val="22"/>
          <w:szCs w:val="22"/>
        </w:rPr>
        <w:t xml:space="preserve"> will be implemented in a </w:t>
      </w:r>
      <w:r w:rsidR="00BA1AB5" w:rsidRPr="00442D9E">
        <w:rPr>
          <w:rFonts w:cs="Arial"/>
          <w:color w:val="000000" w:themeColor="text1"/>
          <w:sz w:val="22"/>
          <w:szCs w:val="22"/>
        </w:rPr>
        <w:t xml:space="preserve">dynamic </w:t>
      </w:r>
      <w:r w:rsidR="00C241F1">
        <w:rPr>
          <w:rFonts w:cs="Arial"/>
          <w:color w:val="000000" w:themeColor="text1"/>
          <w:sz w:val="22"/>
          <w:szCs w:val="22"/>
        </w:rPr>
        <w:t>manner, recognising</w:t>
      </w:r>
      <w:r w:rsidR="00BA1AB5" w:rsidRPr="00442D9E">
        <w:rPr>
          <w:rFonts w:cs="Arial"/>
          <w:color w:val="000000" w:themeColor="text1"/>
          <w:sz w:val="22"/>
          <w:szCs w:val="22"/>
        </w:rPr>
        <w:t xml:space="preserve"> there are unforeseeable point-in-time contextual pressures that may require </w:t>
      </w:r>
      <w:r w:rsidR="00527F01">
        <w:rPr>
          <w:rFonts w:cs="Arial"/>
          <w:color w:val="000000" w:themeColor="text1"/>
          <w:sz w:val="22"/>
          <w:szCs w:val="22"/>
        </w:rPr>
        <w:t>its</w:t>
      </w:r>
      <w:r w:rsidR="0033032D">
        <w:rPr>
          <w:rFonts w:cs="Arial"/>
          <w:color w:val="000000" w:themeColor="text1"/>
          <w:sz w:val="22"/>
          <w:szCs w:val="22"/>
        </w:rPr>
        <w:t xml:space="preserve"> priorities</w:t>
      </w:r>
      <w:r w:rsidR="00BA1AB5" w:rsidRPr="00442D9E">
        <w:rPr>
          <w:rFonts w:cs="Arial"/>
          <w:color w:val="000000" w:themeColor="text1"/>
          <w:sz w:val="22"/>
          <w:szCs w:val="22"/>
        </w:rPr>
        <w:t xml:space="preserve"> to be readjusted.</w:t>
      </w:r>
    </w:p>
    <w:p w14:paraId="72AA78E9" w14:textId="77777777" w:rsidR="00284271" w:rsidRDefault="00284271" w:rsidP="00A60E43">
      <w:pPr>
        <w:pStyle w:val="BodyText"/>
        <w:spacing w:after="0"/>
        <w:jc w:val="both"/>
        <w:rPr>
          <w:rFonts w:cs="Arial"/>
          <w:color w:val="000000" w:themeColor="text1"/>
          <w:sz w:val="22"/>
          <w:szCs w:val="22"/>
        </w:rPr>
      </w:pPr>
    </w:p>
    <w:p w14:paraId="363AE1F8" w14:textId="12FBC86C" w:rsidR="00284271" w:rsidRPr="00442D9E" w:rsidRDefault="00C023F9" w:rsidP="00A60E43">
      <w:pPr>
        <w:pStyle w:val="BodyText"/>
        <w:spacing w:after="0"/>
        <w:jc w:val="both"/>
        <w:rPr>
          <w:rFonts w:cs="Arial"/>
          <w:color w:val="000000" w:themeColor="text1"/>
          <w:sz w:val="22"/>
          <w:szCs w:val="22"/>
        </w:rPr>
      </w:pPr>
      <w:r>
        <w:rPr>
          <w:rFonts w:cs="Arial"/>
          <w:color w:val="000000" w:themeColor="text1"/>
          <w:sz w:val="22"/>
          <w:szCs w:val="22"/>
        </w:rPr>
        <w:t>T</w:t>
      </w:r>
      <w:r w:rsidR="00284271">
        <w:rPr>
          <w:rFonts w:cs="Arial"/>
          <w:color w:val="000000" w:themeColor="text1"/>
          <w:sz w:val="22"/>
          <w:szCs w:val="22"/>
        </w:rPr>
        <w:t xml:space="preserve">his strategy </w:t>
      </w:r>
      <w:r w:rsidR="00A55A4C">
        <w:rPr>
          <w:rFonts w:cs="Arial"/>
          <w:color w:val="000000" w:themeColor="text1"/>
          <w:sz w:val="22"/>
          <w:szCs w:val="22"/>
        </w:rPr>
        <w:t>brings a focus to the provision of accessible, equitable sexual health services, with integration into primary care, supported through the health workforce</w:t>
      </w:r>
      <w:r>
        <w:rPr>
          <w:rFonts w:cs="Arial"/>
          <w:color w:val="000000" w:themeColor="text1"/>
          <w:sz w:val="22"/>
          <w:szCs w:val="22"/>
        </w:rPr>
        <w:t xml:space="preserve">. Surveillance and monitoring will </w:t>
      </w:r>
      <w:r w:rsidR="00121921">
        <w:rPr>
          <w:rFonts w:cs="Arial"/>
          <w:color w:val="000000" w:themeColor="text1"/>
          <w:sz w:val="22"/>
          <w:szCs w:val="22"/>
        </w:rPr>
        <w:t xml:space="preserve">need to </w:t>
      </w:r>
      <w:r w:rsidR="00ED5725">
        <w:rPr>
          <w:rFonts w:cs="Arial"/>
          <w:color w:val="000000" w:themeColor="text1"/>
          <w:sz w:val="22"/>
          <w:szCs w:val="22"/>
        </w:rPr>
        <w:t xml:space="preserve">align with this, </w:t>
      </w:r>
      <w:r w:rsidR="007066BF">
        <w:rPr>
          <w:rFonts w:cs="Arial"/>
          <w:color w:val="000000" w:themeColor="text1"/>
          <w:sz w:val="22"/>
          <w:szCs w:val="22"/>
        </w:rPr>
        <w:t xml:space="preserve">and </w:t>
      </w:r>
      <w:r w:rsidR="00662721">
        <w:rPr>
          <w:rFonts w:cs="Arial"/>
          <w:color w:val="000000" w:themeColor="text1"/>
          <w:sz w:val="22"/>
          <w:szCs w:val="22"/>
        </w:rPr>
        <w:t xml:space="preserve">may </w:t>
      </w:r>
      <w:r w:rsidR="007066BF">
        <w:rPr>
          <w:rFonts w:cs="Arial"/>
          <w:color w:val="000000" w:themeColor="text1"/>
          <w:sz w:val="22"/>
          <w:szCs w:val="22"/>
        </w:rPr>
        <w:t xml:space="preserve">require support for </w:t>
      </w:r>
      <w:r>
        <w:rPr>
          <w:rFonts w:cs="Arial"/>
          <w:color w:val="000000" w:themeColor="text1"/>
          <w:sz w:val="22"/>
          <w:szCs w:val="22"/>
        </w:rPr>
        <w:t xml:space="preserve">new data </w:t>
      </w:r>
      <w:r w:rsidR="00941922">
        <w:rPr>
          <w:rFonts w:cs="Arial"/>
          <w:color w:val="000000" w:themeColor="text1"/>
          <w:sz w:val="22"/>
          <w:szCs w:val="22"/>
        </w:rPr>
        <w:t>measures, and new data collection measures</w:t>
      </w:r>
      <w:r w:rsidR="00EE5338">
        <w:rPr>
          <w:rFonts w:cs="Arial"/>
          <w:color w:val="000000" w:themeColor="text1"/>
          <w:sz w:val="22"/>
          <w:szCs w:val="22"/>
        </w:rPr>
        <w:t xml:space="preserve"> to reflect the new focus</w:t>
      </w:r>
      <w:r w:rsidR="00941922">
        <w:rPr>
          <w:rFonts w:cs="Arial"/>
          <w:color w:val="000000" w:themeColor="text1"/>
          <w:sz w:val="22"/>
          <w:szCs w:val="22"/>
        </w:rPr>
        <w:t xml:space="preserve">. </w:t>
      </w:r>
    </w:p>
    <w:p w14:paraId="6845C0B4" w14:textId="4A54E1BC" w:rsidR="00BA1AB5" w:rsidRPr="00442D9E" w:rsidRDefault="00BA1AB5" w:rsidP="00A60E43">
      <w:pPr>
        <w:pStyle w:val="BodyText"/>
        <w:spacing w:after="0"/>
        <w:jc w:val="both"/>
        <w:rPr>
          <w:rFonts w:cs="Arial"/>
          <w:color w:val="000000" w:themeColor="text1"/>
          <w:sz w:val="22"/>
          <w:szCs w:val="22"/>
        </w:rPr>
      </w:pPr>
    </w:p>
    <w:p w14:paraId="2812E8D9" w14:textId="77777777" w:rsidR="004105D2" w:rsidRDefault="004105D2">
      <w:pPr>
        <w:rPr>
          <w:rFonts w:cs="Arial"/>
          <w:color w:val="000000" w:themeColor="text1"/>
          <w:sz w:val="22"/>
          <w:szCs w:val="22"/>
        </w:rPr>
      </w:pPr>
      <w:bookmarkStart w:id="132" w:name="_Toc138151623"/>
      <w:bookmarkStart w:id="133" w:name="_Toc138173833"/>
      <w:bookmarkStart w:id="134" w:name="_Hlk145419037"/>
      <w:r>
        <w:rPr>
          <w:rFonts w:cs="Arial"/>
          <w:color w:val="000000" w:themeColor="text1"/>
          <w:sz w:val="22"/>
          <w:szCs w:val="22"/>
        </w:rPr>
        <w:br w:type="page"/>
      </w:r>
    </w:p>
    <w:p w14:paraId="6E754030" w14:textId="04844B67" w:rsidR="00CA4411" w:rsidRPr="00CA4411" w:rsidRDefault="00CA4411" w:rsidP="003B2996">
      <w:pPr>
        <w:pStyle w:val="Heading1"/>
        <w:numPr>
          <w:ilvl w:val="0"/>
          <w:numId w:val="0"/>
        </w:numPr>
        <w:rPr>
          <w:sz w:val="22"/>
          <w:szCs w:val="22"/>
        </w:rPr>
      </w:pPr>
      <w:bookmarkStart w:id="135" w:name="_Appendix_A:_CASE"/>
      <w:bookmarkStart w:id="136" w:name="_Toc150160972"/>
      <w:bookmarkStart w:id="137" w:name="_Toc163737198"/>
      <w:bookmarkEnd w:id="135"/>
      <w:r w:rsidRPr="00CA4411">
        <w:lastRenderedPageBreak/>
        <w:t>Appendix A: CASE STUDIES</w:t>
      </w:r>
      <w:bookmarkEnd w:id="136"/>
      <w:bookmarkEnd w:id="137"/>
    </w:p>
    <w:p w14:paraId="4F861A07" w14:textId="406E7DCA" w:rsidR="00CA4411" w:rsidRDefault="00420035" w:rsidP="00E814C3">
      <w:pPr>
        <w:pStyle w:val="Heading2"/>
        <w:rPr>
          <w:rFonts w:ascii="Arial" w:hAnsi="Arial" w:cs="Arial"/>
          <w:sz w:val="28"/>
          <w:szCs w:val="28"/>
        </w:rPr>
      </w:pPr>
      <w:bookmarkStart w:id="138" w:name="_Toc163737199"/>
      <w:r>
        <w:rPr>
          <w:rFonts w:ascii="Arial" w:hAnsi="Arial" w:cs="Arial"/>
          <w:sz w:val="28"/>
          <w:szCs w:val="28"/>
        </w:rPr>
        <w:t>Integrated primary care</w:t>
      </w:r>
      <w:bookmarkEnd w:id="138"/>
    </w:p>
    <w:tbl>
      <w:tblPr>
        <w:tblStyle w:val="GridTable1Light"/>
        <w:tblW w:w="9843" w:type="dxa"/>
        <w:tblBorders>
          <w:top w:val="single" w:sz="18" w:space="0" w:color="FF9F1C"/>
          <w:left w:val="single" w:sz="18" w:space="0" w:color="FF9F1C"/>
          <w:bottom w:val="single" w:sz="18" w:space="0" w:color="FF9F1C"/>
          <w:right w:val="single" w:sz="18" w:space="0" w:color="FF9F1C"/>
          <w:insideH w:val="single" w:sz="8" w:space="0" w:color="FF9F1C"/>
          <w:insideV w:val="none" w:sz="0" w:space="0" w:color="auto"/>
        </w:tblBorders>
        <w:tblCellMar>
          <w:left w:w="142" w:type="dxa"/>
          <w:right w:w="142" w:type="dxa"/>
        </w:tblCellMar>
        <w:tblLook w:val="04A0" w:firstRow="1" w:lastRow="0" w:firstColumn="1" w:lastColumn="0" w:noHBand="0" w:noVBand="1"/>
      </w:tblPr>
      <w:tblGrid>
        <w:gridCol w:w="3101"/>
        <w:gridCol w:w="1275"/>
        <w:gridCol w:w="5467"/>
      </w:tblGrid>
      <w:tr w:rsidR="00FC504E" w:rsidRPr="00F42D3B" w14:paraId="6A126C70" w14:textId="77777777" w:rsidTr="00590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3"/>
            <w:shd w:val="clear" w:color="auto" w:fill="F7CAAC" w:themeFill="accent2" w:themeFillTint="66"/>
          </w:tcPr>
          <w:p w14:paraId="55138CEE" w14:textId="4848610E" w:rsidR="00FC504E" w:rsidRPr="006C29F2" w:rsidRDefault="00FC504E" w:rsidP="006C29F2">
            <w:pPr>
              <w:pStyle w:val="Heading3"/>
              <w:numPr>
                <w:ilvl w:val="0"/>
                <w:numId w:val="0"/>
              </w:numPr>
              <w:ind w:left="720" w:hanging="720"/>
              <w:rPr>
                <w:rFonts w:ascii="Arial" w:hAnsi="Arial" w:cs="Arial"/>
              </w:rPr>
            </w:pPr>
            <w:bookmarkStart w:id="139" w:name="_Case_study:_Decentralising"/>
            <w:bookmarkStart w:id="140" w:name="_Toc148613973"/>
            <w:bookmarkStart w:id="141" w:name="_Toc150160974"/>
            <w:bookmarkEnd w:id="139"/>
            <w:r w:rsidRPr="006C29F2">
              <w:rPr>
                <w:rStyle w:val="Heading3Char"/>
                <w:rFonts w:ascii="Arial" w:hAnsi="Arial" w:cs="Arial"/>
                <w:b w:val="0"/>
                <w:bCs w:val="0"/>
                <w:color w:val="auto"/>
              </w:rPr>
              <w:t xml:space="preserve">Case study: </w:t>
            </w:r>
            <w:r w:rsidRPr="006C29F2">
              <w:rPr>
                <w:rStyle w:val="Heading3Char"/>
                <w:rFonts w:ascii="Arial" w:hAnsi="Arial" w:cs="Arial"/>
                <w:b w:val="0"/>
                <w:bCs w:val="0"/>
              </w:rPr>
              <w:t>Decentralising testing and treatment: Implementing a hub-and-spoke model</w:t>
            </w:r>
            <w:bookmarkEnd w:id="140"/>
            <w:bookmarkEnd w:id="141"/>
          </w:p>
        </w:tc>
      </w:tr>
      <w:tr w:rsidR="00CA4411" w:rsidRPr="00F42D3B" w14:paraId="558705F4" w14:textId="77777777" w:rsidTr="00590D6F">
        <w:tc>
          <w:tcPr>
            <w:cnfStyle w:val="001000000000" w:firstRow="0" w:lastRow="0" w:firstColumn="1" w:lastColumn="0" w:oddVBand="0" w:evenVBand="0" w:oddHBand="0" w:evenHBand="0" w:firstRowFirstColumn="0" w:firstRowLastColumn="0" w:lastRowFirstColumn="0" w:lastRowLastColumn="0"/>
            <w:tcW w:w="4376" w:type="dxa"/>
            <w:gridSpan w:val="2"/>
            <w:shd w:val="clear" w:color="auto" w:fill="FBE4D5" w:themeFill="accent2" w:themeFillTint="33"/>
          </w:tcPr>
          <w:p w14:paraId="5FD6E6B1" w14:textId="77777777" w:rsidR="00CA4411" w:rsidRPr="00F42D3B" w:rsidRDefault="00CA4411" w:rsidP="00F42D3B">
            <w:pPr>
              <w:pStyle w:val="BodyText"/>
              <w:spacing w:before="120"/>
              <w:jc w:val="both"/>
              <w:rPr>
                <w:rFonts w:cs="Arial"/>
                <w:color w:val="000000" w:themeColor="text1"/>
                <w:kern w:val="0"/>
                <w:sz w:val="22"/>
                <w:szCs w:val="22"/>
                <w14:ligatures w14:val="none"/>
              </w:rPr>
            </w:pPr>
            <w:r w:rsidRPr="00F42D3B">
              <w:rPr>
                <w:rFonts w:cs="Arial"/>
                <w:color w:val="000000" w:themeColor="text1"/>
                <w:kern w:val="0"/>
                <w:sz w:val="22"/>
                <w:szCs w:val="22"/>
                <w14:ligatures w14:val="none"/>
              </w:rPr>
              <w:t>Location</w:t>
            </w:r>
          </w:p>
        </w:tc>
        <w:tc>
          <w:tcPr>
            <w:tcW w:w="5467" w:type="dxa"/>
          </w:tcPr>
          <w:p w14:paraId="525D049E" w14:textId="77777777" w:rsidR="00CA4411" w:rsidRPr="00F42D3B" w:rsidRDefault="00CA4411" w:rsidP="00F42D3B">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F42D3B">
              <w:rPr>
                <w:rFonts w:cs="Arial"/>
                <w:color w:val="000000" w:themeColor="text1"/>
                <w:kern w:val="0"/>
                <w:sz w:val="22"/>
                <w:szCs w:val="22"/>
                <w14:ligatures w14:val="none"/>
              </w:rPr>
              <w:t>Victoria</w:t>
            </w:r>
          </w:p>
        </w:tc>
      </w:tr>
      <w:tr w:rsidR="00CA4411" w:rsidRPr="00F42D3B" w14:paraId="3CFF98CA" w14:textId="77777777" w:rsidTr="00590D6F">
        <w:tc>
          <w:tcPr>
            <w:cnfStyle w:val="001000000000" w:firstRow="0" w:lastRow="0" w:firstColumn="1" w:lastColumn="0" w:oddVBand="0" w:evenVBand="0" w:oddHBand="0" w:evenHBand="0" w:firstRowFirstColumn="0" w:firstRowLastColumn="0" w:lastRowFirstColumn="0" w:lastRowLastColumn="0"/>
            <w:tcW w:w="4376" w:type="dxa"/>
            <w:gridSpan w:val="2"/>
            <w:shd w:val="clear" w:color="auto" w:fill="FBE4D5" w:themeFill="accent2" w:themeFillTint="33"/>
          </w:tcPr>
          <w:p w14:paraId="37FC3257" w14:textId="77777777" w:rsidR="00CA4411" w:rsidRPr="00F42D3B" w:rsidRDefault="00CA4411" w:rsidP="00F42D3B">
            <w:pPr>
              <w:pStyle w:val="BodyText"/>
              <w:spacing w:before="120"/>
              <w:jc w:val="both"/>
              <w:rPr>
                <w:rFonts w:cs="Arial"/>
                <w:color w:val="000000" w:themeColor="text1"/>
                <w:kern w:val="0"/>
                <w:sz w:val="22"/>
                <w:szCs w:val="22"/>
                <w14:ligatures w14:val="none"/>
              </w:rPr>
            </w:pPr>
            <w:r w:rsidRPr="00F42D3B">
              <w:rPr>
                <w:rFonts w:cs="Arial"/>
                <w:color w:val="000000" w:themeColor="text1"/>
                <w:kern w:val="0"/>
                <w:sz w:val="22"/>
                <w:szCs w:val="22"/>
                <w14:ligatures w14:val="none"/>
              </w:rPr>
              <w:t>Organisation</w:t>
            </w:r>
          </w:p>
        </w:tc>
        <w:tc>
          <w:tcPr>
            <w:tcW w:w="5467" w:type="dxa"/>
          </w:tcPr>
          <w:p w14:paraId="6123FF22" w14:textId="77777777" w:rsidR="00CA4411" w:rsidRPr="00F42D3B" w:rsidRDefault="00CA4411" w:rsidP="00F42D3B">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F42D3B">
              <w:rPr>
                <w:rFonts w:cs="Arial"/>
                <w:color w:val="000000" w:themeColor="text1"/>
                <w:kern w:val="0"/>
                <w:sz w:val="22"/>
                <w:szCs w:val="22"/>
                <w14:ligatures w14:val="none"/>
              </w:rPr>
              <w:t>Melbourne Sexual Health Centre (MSHC)</w:t>
            </w:r>
          </w:p>
        </w:tc>
      </w:tr>
      <w:tr w:rsidR="00CA4411" w:rsidRPr="00F42D3B" w14:paraId="73039AE0" w14:textId="77777777" w:rsidTr="00590D6F">
        <w:tc>
          <w:tcPr>
            <w:cnfStyle w:val="001000000000" w:firstRow="0" w:lastRow="0" w:firstColumn="1" w:lastColumn="0" w:oddVBand="0" w:evenVBand="0" w:oddHBand="0" w:evenHBand="0" w:firstRowFirstColumn="0" w:firstRowLastColumn="0" w:lastRowFirstColumn="0" w:lastRowLastColumn="0"/>
            <w:tcW w:w="4376" w:type="dxa"/>
            <w:gridSpan w:val="2"/>
            <w:shd w:val="clear" w:color="auto" w:fill="FBE4D5" w:themeFill="accent2" w:themeFillTint="33"/>
          </w:tcPr>
          <w:p w14:paraId="34954444" w14:textId="77777777" w:rsidR="00CA4411" w:rsidRPr="00F42D3B" w:rsidRDefault="00CA4411" w:rsidP="00F42D3B">
            <w:pPr>
              <w:pStyle w:val="BodyText"/>
              <w:spacing w:before="120"/>
              <w:jc w:val="both"/>
              <w:rPr>
                <w:rFonts w:cs="Arial"/>
                <w:color w:val="000000" w:themeColor="text1"/>
                <w:kern w:val="0"/>
                <w:sz w:val="22"/>
                <w:szCs w:val="22"/>
                <w14:ligatures w14:val="none"/>
              </w:rPr>
            </w:pPr>
            <w:r w:rsidRPr="00F42D3B">
              <w:rPr>
                <w:rFonts w:cs="Arial"/>
                <w:color w:val="000000" w:themeColor="text1"/>
                <w:kern w:val="0"/>
                <w:sz w:val="22"/>
                <w:szCs w:val="22"/>
                <w14:ligatures w14:val="none"/>
              </w:rPr>
              <w:t>Strategy outcomes</w:t>
            </w:r>
          </w:p>
        </w:tc>
        <w:tc>
          <w:tcPr>
            <w:tcW w:w="5467" w:type="dxa"/>
          </w:tcPr>
          <w:p w14:paraId="6D0114B7" w14:textId="64FD6E2A" w:rsidR="00FA7D48" w:rsidRPr="00F42D3B" w:rsidRDefault="00FA7D48" w:rsidP="008B43F1">
            <w:pPr>
              <w:pStyle w:val="BodyText"/>
              <w:numPr>
                <w:ilvl w:val="0"/>
                <w:numId w:val="14"/>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F42D3B">
              <w:rPr>
                <w:rFonts w:cs="Arial"/>
                <w:color w:val="000000" w:themeColor="text1"/>
                <w:kern w:val="0"/>
                <w:sz w:val="22"/>
                <w:szCs w:val="22"/>
                <w14:ligatures w14:val="none"/>
              </w:rPr>
              <w:t xml:space="preserve">Goal </w:t>
            </w:r>
            <w:r>
              <w:rPr>
                <w:rFonts w:cs="Arial"/>
                <w:color w:val="000000" w:themeColor="text1"/>
                <w:kern w:val="0"/>
                <w:sz w:val="22"/>
                <w:szCs w:val="22"/>
                <w14:ligatures w14:val="none"/>
              </w:rPr>
              <w:t>1</w:t>
            </w:r>
            <w:r w:rsidRPr="00F42D3B">
              <w:rPr>
                <w:rFonts w:cs="Arial"/>
                <w:color w:val="000000" w:themeColor="text1"/>
                <w:kern w:val="0"/>
                <w:sz w:val="22"/>
                <w:szCs w:val="22"/>
                <w14:ligatures w14:val="none"/>
              </w:rPr>
              <w:t>: Reduce morbidity and complications from STI in Australia by scaling up evidence-based interventions</w:t>
            </w:r>
            <w:r w:rsidR="005D711C">
              <w:rPr>
                <w:rFonts w:cs="Arial"/>
                <w:color w:val="000000" w:themeColor="text1"/>
                <w:kern w:val="0"/>
                <w:sz w:val="22"/>
                <w:szCs w:val="22"/>
                <w14:ligatures w14:val="none"/>
              </w:rPr>
              <w:t xml:space="preserve"> </w:t>
            </w:r>
            <w:r w:rsidR="005D711C" w:rsidRPr="003B2996">
              <w:rPr>
                <w:rFonts w:cs="Arial"/>
                <w:color w:val="000000" w:themeColor="text1"/>
                <w:sz w:val="22"/>
                <w:szCs w:val="22"/>
              </w:rPr>
              <w:t>to enhance access to quality STI and sexual</w:t>
            </w:r>
            <w:r w:rsidR="00DB2CBE" w:rsidRPr="003B2996">
              <w:rPr>
                <w:rFonts w:cs="Arial"/>
                <w:color w:val="000000" w:themeColor="text1"/>
                <w:sz w:val="22"/>
                <w:szCs w:val="22"/>
              </w:rPr>
              <w:t xml:space="preserve"> health services for all when needed.</w:t>
            </w:r>
            <w:r w:rsidRPr="00F42D3B">
              <w:rPr>
                <w:rFonts w:cs="Arial"/>
                <w:color w:val="000000" w:themeColor="text1"/>
                <w:kern w:val="0"/>
                <w:sz w:val="22"/>
                <w:szCs w:val="22"/>
                <w14:ligatures w14:val="none"/>
              </w:rPr>
              <w:t xml:space="preserve"> </w:t>
            </w:r>
          </w:p>
          <w:p w14:paraId="5D68B819" w14:textId="02F36255" w:rsidR="00CA4411" w:rsidRPr="00F42D3B" w:rsidRDefault="00CA4411" w:rsidP="008B43F1">
            <w:pPr>
              <w:pStyle w:val="BodyText"/>
              <w:numPr>
                <w:ilvl w:val="0"/>
                <w:numId w:val="14"/>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F42D3B">
              <w:rPr>
                <w:rFonts w:cs="Arial"/>
                <w:color w:val="000000" w:themeColor="text1"/>
                <w:kern w:val="0"/>
                <w:sz w:val="22"/>
                <w:szCs w:val="22"/>
                <w14:ligatures w14:val="none"/>
              </w:rPr>
              <w:t xml:space="preserve">Goal </w:t>
            </w:r>
            <w:r w:rsidR="00F73C4F">
              <w:rPr>
                <w:rFonts w:cs="Arial"/>
                <w:color w:val="000000" w:themeColor="text1"/>
                <w:kern w:val="0"/>
                <w:sz w:val="22"/>
                <w:szCs w:val="22"/>
                <w14:ligatures w14:val="none"/>
              </w:rPr>
              <w:t>2</w:t>
            </w:r>
            <w:r w:rsidRPr="00F42D3B">
              <w:rPr>
                <w:rFonts w:cs="Arial"/>
                <w:color w:val="000000" w:themeColor="text1"/>
                <w:kern w:val="0"/>
                <w:sz w:val="22"/>
                <w:szCs w:val="22"/>
                <w14:ligatures w14:val="none"/>
              </w:rPr>
              <w:t xml:space="preserve">: Integrate person-centred systems for better sexual </w:t>
            </w:r>
            <w:r w:rsidR="002A5485">
              <w:rPr>
                <w:rFonts w:cs="Arial"/>
                <w:color w:val="000000" w:themeColor="text1"/>
                <w:kern w:val="0"/>
                <w:sz w:val="22"/>
                <w:szCs w:val="22"/>
                <w14:ligatures w14:val="none"/>
              </w:rPr>
              <w:t xml:space="preserve">and reproductive </w:t>
            </w:r>
            <w:r w:rsidRPr="00F42D3B">
              <w:rPr>
                <w:rFonts w:cs="Arial"/>
                <w:color w:val="000000" w:themeColor="text1"/>
                <w:kern w:val="0"/>
                <w:sz w:val="22"/>
                <w:szCs w:val="22"/>
                <w14:ligatures w14:val="none"/>
              </w:rPr>
              <w:t>health for all</w:t>
            </w:r>
            <w:r w:rsidR="002A5485">
              <w:rPr>
                <w:rFonts w:cs="Arial"/>
                <w:color w:val="000000" w:themeColor="text1"/>
                <w:kern w:val="0"/>
                <w:sz w:val="22"/>
                <w:szCs w:val="22"/>
                <w14:ligatures w14:val="none"/>
              </w:rPr>
              <w:t xml:space="preserve">. </w:t>
            </w:r>
          </w:p>
          <w:p w14:paraId="56CC346A" w14:textId="77777777" w:rsidR="00CA4411" w:rsidRPr="00F42D3B" w:rsidRDefault="00CA4411" w:rsidP="008B43F1">
            <w:pPr>
              <w:pStyle w:val="BodyText"/>
              <w:numPr>
                <w:ilvl w:val="0"/>
                <w:numId w:val="14"/>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F42D3B">
              <w:rPr>
                <w:rFonts w:cs="Arial"/>
                <w:color w:val="000000" w:themeColor="text1"/>
                <w:kern w:val="0"/>
                <w:sz w:val="22"/>
                <w:szCs w:val="22"/>
                <w14:ligatures w14:val="none"/>
              </w:rPr>
              <w:t>Goal 4: Eliminate the negative impact of stigma, discrimination, and legal and human rights issues on people’s health.</w:t>
            </w:r>
          </w:p>
        </w:tc>
      </w:tr>
      <w:tr w:rsidR="00CA4411" w:rsidRPr="00F42D3B" w14:paraId="59F51CF5" w14:textId="77777777" w:rsidTr="00590D6F">
        <w:tc>
          <w:tcPr>
            <w:cnfStyle w:val="001000000000" w:firstRow="0" w:lastRow="0" w:firstColumn="1" w:lastColumn="0" w:oddVBand="0" w:evenVBand="0" w:oddHBand="0" w:evenHBand="0" w:firstRowFirstColumn="0" w:firstRowLastColumn="0" w:lastRowFirstColumn="0" w:lastRowLastColumn="0"/>
            <w:tcW w:w="9843" w:type="dxa"/>
            <w:gridSpan w:val="3"/>
          </w:tcPr>
          <w:p w14:paraId="6C597171" w14:textId="77777777" w:rsidR="00CA4411" w:rsidRPr="00F42D3B" w:rsidRDefault="00CA4411" w:rsidP="00F42D3B">
            <w:pPr>
              <w:pStyle w:val="BodyText"/>
              <w:spacing w:before="120"/>
              <w:jc w:val="both"/>
              <w:rPr>
                <w:rFonts w:cs="Arial"/>
                <w:b w:val="0"/>
                <w:bCs w:val="0"/>
                <w:i/>
                <w:color w:val="000000" w:themeColor="text1"/>
                <w:kern w:val="0"/>
                <w:sz w:val="22"/>
                <w:szCs w:val="22"/>
                <w14:ligatures w14:val="none"/>
              </w:rPr>
            </w:pPr>
            <w:r w:rsidRPr="00F42D3B">
              <w:rPr>
                <w:rFonts w:cs="Arial"/>
                <w:b w:val="0"/>
                <w:bCs w:val="0"/>
                <w:i/>
                <w:color w:val="000000" w:themeColor="text1"/>
                <w:kern w:val="0"/>
                <w:sz w:val="22"/>
                <w:szCs w:val="22"/>
                <w14:ligatures w14:val="none"/>
              </w:rPr>
              <w:t xml:space="preserve">‘It is great that more GPs can be upskilled to provide quality sexual health in this hub-and-spoke model, but this does not replace having multiple sexual health clinics (NSW model), which is the ideal. Over the next five years, I’d like to see better access to specialist sexual health services in Victoria and across Australia – that would be fantastic!’ </w:t>
            </w:r>
          </w:p>
          <w:p w14:paraId="3E61F5CF" w14:textId="77777777" w:rsidR="00CA4411" w:rsidRPr="00F42D3B" w:rsidRDefault="00CA4411" w:rsidP="00F42D3B">
            <w:pPr>
              <w:pStyle w:val="BodyText"/>
              <w:spacing w:before="120"/>
              <w:jc w:val="both"/>
              <w:rPr>
                <w:rFonts w:cs="Arial"/>
                <w:b w:val="0"/>
                <w:bCs w:val="0"/>
                <w:color w:val="000000" w:themeColor="text1"/>
                <w:kern w:val="0"/>
                <w:sz w:val="22"/>
                <w:szCs w:val="22"/>
                <w14:ligatures w14:val="none"/>
              </w:rPr>
            </w:pPr>
            <w:r w:rsidRPr="00F42D3B">
              <w:rPr>
                <w:rFonts w:cs="Arial"/>
                <w:b w:val="0"/>
                <w:bCs w:val="0"/>
                <w:color w:val="000000" w:themeColor="text1"/>
                <w:kern w:val="0"/>
                <w:sz w:val="22"/>
                <w:szCs w:val="22"/>
                <w14:ligatures w14:val="none"/>
              </w:rPr>
              <w:t>– Associate Professor Jason Ong, Head, HIV/STI Economics and Health Preference Research, Melbourne Sexual Health Centre (MSHC)</w:t>
            </w:r>
          </w:p>
          <w:p w14:paraId="15D9E62F" w14:textId="5E2B8EE9" w:rsidR="00CA4411" w:rsidRPr="00F42D3B" w:rsidRDefault="00CA4411" w:rsidP="00F42D3B">
            <w:pPr>
              <w:pStyle w:val="BodyText"/>
              <w:spacing w:before="120"/>
              <w:jc w:val="both"/>
              <w:rPr>
                <w:rFonts w:cs="Arial"/>
                <w:b w:val="0"/>
                <w:bCs w:val="0"/>
                <w:color w:val="000000" w:themeColor="text1"/>
                <w:kern w:val="0"/>
                <w:sz w:val="22"/>
                <w:szCs w:val="22"/>
                <w14:ligatures w14:val="none"/>
              </w:rPr>
            </w:pPr>
            <w:r w:rsidRPr="00F42D3B">
              <w:rPr>
                <w:rFonts w:cs="Arial"/>
                <w:b w:val="0"/>
                <w:bCs w:val="0"/>
                <w:color w:val="000000" w:themeColor="text1"/>
                <w:kern w:val="0"/>
                <w:sz w:val="22"/>
                <w:szCs w:val="22"/>
                <w14:ligatures w14:val="none"/>
              </w:rPr>
              <w:t xml:space="preserve">In 2020, MSHC, part of Alfred Health, implemented a decentralised hub-and-spoke model to deliver HIV and STI services. The model is a network with a central facility (the ‘hub’) that provides a full array of sexual health primary and specialist services and supports geographically dispersed secondary services (the ‘spokes’). In Victoria, MSHC serves as the specialist hub for HIV and STI testing and treatment, supporting GP spokes that provide primary care HIV and STI testing and treatment. </w:t>
            </w:r>
          </w:p>
          <w:p w14:paraId="04B55D3D" w14:textId="22EE0DF3" w:rsidR="00CA4411" w:rsidRPr="00F42D3B" w:rsidRDefault="00CA4411" w:rsidP="00F42D3B">
            <w:pPr>
              <w:pStyle w:val="BodyText"/>
              <w:spacing w:before="120"/>
              <w:jc w:val="both"/>
              <w:rPr>
                <w:rFonts w:cs="Arial"/>
                <w:b w:val="0"/>
                <w:bCs w:val="0"/>
                <w:color w:val="000000" w:themeColor="text1"/>
                <w:kern w:val="0"/>
                <w:sz w:val="22"/>
                <w:szCs w:val="22"/>
                <w:u w:val="single"/>
                <w:vertAlign w:val="superscript"/>
                <w14:ligatures w14:val="none"/>
              </w:rPr>
            </w:pPr>
            <w:r w:rsidRPr="00F42D3B">
              <w:rPr>
                <w:rFonts w:cs="Arial"/>
                <w:b w:val="0"/>
                <w:bCs w:val="0"/>
                <w:color w:val="000000" w:themeColor="text1"/>
                <w:kern w:val="0"/>
                <w:sz w:val="22"/>
                <w:szCs w:val="22"/>
                <w14:ligatures w14:val="none"/>
              </w:rPr>
              <w:t>A study found that from July 2020 to July 2021, this model led to a sustained increase in HIV and STI testing (see Table 1). It concluded that GPs are well placed to deliver sexual healthcare, with specialist services providing support and training through a hub-and-spoke model.</w:t>
            </w:r>
          </w:p>
          <w:p w14:paraId="298C3038" w14:textId="69DC8D9D" w:rsidR="00CA4411" w:rsidRDefault="00CA4411" w:rsidP="00F42D3B">
            <w:pPr>
              <w:pStyle w:val="BodyText"/>
              <w:spacing w:before="120"/>
              <w:jc w:val="both"/>
              <w:rPr>
                <w:rFonts w:cs="Arial"/>
                <w:i/>
                <w:color w:val="000000" w:themeColor="text1"/>
                <w:kern w:val="0"/>
                <w:sz w:val="22"/>
                <w:szCs w:val="22"/>
                <w14:ligatures w14:val="none"/>
              </w:rPr>
            </w:pPr>
            <w:r w:rsidRPr="00F42D3B">
              <w:rPr>
                <w:rFonts w:cs="Arial"/>
                <w:b w:val="0"/>
                <w:bCs w:val="0"/>
                <w:i/>
                <w:color w:val="000000" w:themeColor="text1"/>
                <w:kern w:val="0"/>
                <w:sz w:val="22"/>
                <w:szCs w:val="22"/>
                <w14:ligatures w14:val="none"/>
              </w:rPr>
              <w:t>Table 1: Sustained increase in HIV and STI testing (monthly average) as a result of the hub-and-spoke model</w:t>
            </w:r>
          </w:p>
          <w:tbl>
            <w:tblPr>
              <w:tblStyle w:val="ACTableDesign"/>
              <w:tblW w:w="0" w:type="auto"/>
              <w:tblLook w:val="04A0" w:firstRow="1" w:lastRow="0" w:firstColumn="1" w:lastColumn="0" w:noHBand="0" w:noVBand="1"/>
            </w:tblPr>
            <w:tblGrid>
              <w:gridCol w:w="1804"/>
              <w:gridCol w:w="1804"/>
              <w:gridCol w:w="1805"/>
              <w:gridCol w:w="1805"/>
              <w:gridCol w:w="1805"/>
            </w:tblGrid>
            <w:tr w:rsidR="008A60D7" w14:paraId="5FB5B34B" w14:textId="77777777" w:rsidTr="00F75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14:paraId="4EA99DF9" w14:textId="77777777" w:rsidR="008A60D7" w:rsidRDefault="008A60D7" w:rsidP="008A60D7"/>
              </w:tc>
              <w:tc>
                <w:tcPr>
                  <w:tcW w:w="1804" w:type="dxa"/>
                  <w:shd w:val="clear" w:color="auto" w:fill="auto"/>
                </w:tcPr>
                <w:p w14:paraId="5C1E2F8C" w14:textId="77777777" w:rsidR="008A60D7" w:rsidRDefault="008A60D7" w:rsidP="008A60D7">
                  <w:pPr>
                    <w:cnfStyle w:val="100000000000" w:firstRow="1" w:lastRow="0" w:firstColumn="0" w:lastColumn="0" w:oddVBand="0" w:evenVBand="0" w:oddHBand="0" w:evenHBand="0" w:firstRowFirstColumn="0" w:firstRowLastColumn="0" w:lastRowFirstColumn="0" w:lastRowLastColumn="0"/>
                  </w:pPr>
                  <w:r w:rsidRPr="008B522D">
                    <w:t>HIV</w:t>
                  </w:r>
                </w:p>
              </w:tc>
              <w:tc>
                <w:tcPr>
                  <w:tcW w:w="1805" w:type="dxa"/>
                  <w:shd w:val="clear" w:color="auto" w:fill="auto"/>
                </w:tcPr>
                <w:p w14:paraId="0D1302C0" w14:textId="77777777" w:rsidR="008A60D7" w:rsidRDefault="008A60D7" w:rsidP="008A60D7">
                  <w:pPr>
                    <w:cnfStyle w:val="100000000000" w:firstRow="1" w:lastRow="0" w:firstColumn="0" w:lastColumn="0" w:oddVBand="0" w:evenVBand="0" w:oddHBand="0" w:evenHBand="0" w:firstRowFirstColumn="0" w:firstRowLastColumn="0" w:lastRowFirstColumn="0" w:lastRowLastColumn="0"/>
                  </w:pPr>
                  <w:r w:rsidRPr="008B522D">
                    <w:t>Chlamydia</w:t>
                  </w:r>
                </w:p>
              </w:tc>
              <w:tc>
                <w:tcPr>
                  <w:tcW w:w="1805" w:type="dxa"/>
                  <w:shd w:val="clear" w:color="auto" w:fill="auto"/>
                </w:tcPr>
                <w:p w14:paraId="2D5D4104" w14:textId="77777777" w:rsidR="008A60D7" w:rsidRDefault="008A60D7" w:rsidP="008A60D7">
                  <w:pPr>
                    <w:cnfStyle w:val="100000000000" w:firstRow="1" w:lastRow="0" w:firstColumn="0" w:lastColumn="0" w:oddVBand="0" w:evenVBand="0" w:oddHBand="0" w:evenHBand="0" w:firstRowFirstColumn="0" w:firstRowLastColumn="0" w:lastRowFirstColumn="0" w:lastRowLastColumn="0"/>
                  </w:pPr>
                  <w:r w:rsidRPr="008B522D">
                    <w:t>Gonorrhoea</w:t>
                  </w:r>
                </w:p>
              </w:tc>
              <w:tc>
                <w:tcPr>
                  <w:tcW w:w="1805" w:type="dxa"/>
                  <w:shd w:val="clear" w:color="auto" w:fill="auto"/>
                </w:tcPr>
                <w:p w14:paraId="6D93F1F2" w14:textId="77777777" w:rsidR="008A60D7" w:rsidRDefault="008A60D7" w:rsidP="008A60D7">
                  <w:pPr>
                    <w:cnfStyle w:val="100000000000" w:firstRow="1" w:lastRow="0" w:firstColumn="0" w:lastColumn="0" w:oddVBand="0" w:evenVBand="0" w:oddHBand="0" w:evenHBand="0" w:firstRowFirstColumn="0" w:firstRowLastColumn="0" w:lastRowFirstColumn="0" w:lastRowLastColumn="0"/>
                  </w:pPr>
                  <w:r w:rsidRPr="008B522D">
                    <w:t>Syphilis</w:t>
                  </w:r>
                </w:p>
              </w:tc>
            </w:tr>
            <w:tr w:rsidR="008A60D7" w14:paraId="3936599C" w14:textId="77777777" w:rsidTr="00F7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14:paraId="58AC311E" w14:textId="77777777" w:rsidR="008A60D7" w:rsidRPr="00F759EE" w:rsidRDefault="008A60D7" w:rsidP="008A60D7">
                  <w:pPr>
                    <w:rPr>
                      <w:color w:val="auto"/>
                    </w:rPr>
                  </w:pPr>
                  <w:r w:rsidRPr="008B522D">
                    <w:rPr>
                      <w:color w:val="auto"/>
                    </w:rPr>
                    <w:t>Before implementation</w:t>
                  </w:r>
                </w:p>
              </w:tc>
              <w:tc>
                <w:tcPr>
                  <w:tcW w:w="1804" w:type="dxa"/>
                  <w:shd w:val="clear" w:color="auto" w:fill="auto"/>
                </w:tcPr>
                <w:p w14:paraId="60E522D0" w14:textId="77777777" w:rsidR="008A60D7" w:rsidRPr="00F759EE" w:rsidRDefault="008A60D7" w:rsidP="008A60D7">
                  <w:pPr>
                    <w:cnfStyle w:val="000000100000" w:firstRow="0" w:lastRow="0" w:firstColumn="0" w:lastColumn="0" w:oddVBand="0" w:evenVBand="0" w:oddHBand="1" w:evenHBand="0" w:firstRowFirstColumn="0" w:firstRowLastColumn="0" w:lastRowFirstColumn="0" w:lastRowLastColumn="0"/>
                    <w:rPr>
                      <w:color w:val="auto"/>
                    </w:rPr>
                  </w:pPr>
                  <w:r w:rsidRPr="008B522D">
                    <w:rPr>
                      <w:color w:val="auto"/>
                    </w:rPr>
                    <w:t>68.8</w:t>
                  </w:r>
                </w:p>
              </w:tc>
              <w:tc>
                <w:tcPr>
                  <w:tcW w:w="1805" w:type="dxa"/>
                  <w:shd w:val="clear" w:color="auto" w:fill="auto"/>
                </w:tcPr>
                <w:p w14:paraId="51757A60" w14:textId="77777777" w:rsidR="008A60D7" w:rsidRPr="00F759EE" w:rsidRDefault="008A60D7" w:rsidP="008A60D7">
                  <w:pPr>
                    <w:cnfStyle w:val="000000100000" w:firstRow="0" w:lastRow="0" w:firstColumn="0" w:lastColumn="0" w:oddVBand="0" w:evenVBand="0" w:oddHBand="1" w:evenHBand="0" w:firstRowFirstColumn="0" w:firstRowLastColumn="0" w:lastRowFirstColumn="0" w:lastRowLastColumn="0"/>
                    <w:rPr>
                      <w:color w:val="auto"/>
                    </w:rPr>
                  </w:pPr>
                  <w:r w:rsidRPr="008B522D">
                    <w:rPr>
                      <w:color w:val="auto"/>
                    </w:rPr>
                    <w:t>61.6</w:t>
                  </w:r>
                </w:p>
              </w:tc>
              <w:tc>
                <w:tcPr>
                  <w:tcW w:w="1805" w:type="dxa"/>
                  <w:shd w:val="clear" w:color="auto" w:fill="auto"/>
                </w:tcPr>
                <w:p w14:paraId="22E49589" w14:textId="77777777" w:rsidR="008A60D7" w:rsidRPr="00F759EE" w:rsidRDefault="008A60D7" w:rsidP="008A60D7">
                  <w:pPr>
                    <w:cnfStyle w:val="000000100000" w:firstRow="0" w:lastRow="0" w:firstColumn="0" w:lastColumn="0" w:oddVBand="0" w:evenVBand="0" w:oddHBand="1" w:evenHBand="0" w:firstRowFirstColumn="0" w:firstRowLastColumn="0" w:lastRowFirstColumn="0" w:lastRowLastColumn="0"/>
                    <w:rPr>
                      <w:color w:val="auto"/>
                    </w:rPr>
                  </w:pPr>
                  <w:r w:rsidRPr="008B522D">
                    <w:rPr>
                      <w:color w:val="auto"/>
                    </w:rPr>
                    <w:t>52.2</w:t>
                  </w:r>
                </w:p>
              </w:tc>
              <w:tc>
                <w:tcPr>
                  <w:tcW w:w="1805" w:type="dxa"/>
                  <w:shd w:val="clear" w:color="auto" w:fill="auto"/>
                </w:tcPr>
                <w:p w14:paraId="36496862" w14:textId="77777777" w:rsidR="008A60D7" w:rsidRPr="00F759EE" w:rsidRDefault="008A60D7" w:rsidP="008A60D7">
                  <w:pPr>
                    <w:cnfStyle w:val="000000100000" w:firstRow="0" w:lastRow="0" w:firstColumn="0" w:lastColumn="0" w:oddVBand="0" w:evenVBand="0" w:oddHBand="1" w:evenHBand="0" w:firstRowFirstColumn="0" w:firstRowLastColumn="0" w:lastRowFirstColumn="0" w:lastRowLastColumn="0"/>
                    <w:rPr>
                      <w:color w:val="auto"/>
                    </w:rPr>
                  </w:pPr>
                  <w:r w:rsidRPr="008B522D">
                    <w:rPr>
                      <w:color w:val="auto"/>
                    </w:rPr>
                    <w:t>53.2</w:t>
                  </w:r>
                </w:p>
              </w:tc>
            </w:tr>
            <w:tr w:rsidR="008A60D7" w14:paraId="2E703D86" w14:textId="77777777" w:rsidTr="00F7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14:paraId="75187FA0" w14:textId="77777777" w:rsidR="008A60D7" w:rsidRPr="00F759EE" w:rsidRDefault="008A60D7" w:rsidP="008A60D7">
                  <w:pPr>
                    <w:rPr>
                      <w:color w:val="auto"/>
                    </w:rPr>
                  </w:pPr>
                  <w:r w:rsidRPr="008B522D">
                    <w:rPr>
                      <w:color w:val="auto"/>
                    </w:rPr>
                    <w:t>After implementation</w:t>
                  </w:r>
                </w:p>
              </w:tc>
              <w:tc>
                <w:tcPr>
                  <w:tcW w:w="1804" w:type="dxa"/>
                  <w:shd w:val="clear" w:color="auto" w:fill="auto"/>
                </w:tcPr>
                <w:p w14:paraId="47E501AE" w14:textId="77777777" w:rsidR="008A60D7" w:rsidRPr="00F759EE" w:rsidRDefault="008A60D7" w:rsidP="008A60D7">
                  <w:pPr>
                    <w:cnfStyle w:val="000000010000" w:firstRow="0" w:lastRow="0" w:firstColumn="0" w:lastColumn="0" w:oddVBand="0" w:evenVBand="0" w:oddHBand="0" w:evenHBand="1" w:firstRowFirstColumn="0" w:firstRowLastColumn="0" w:lastRowFirstColumn="0" w:lastRowLastColumn="0"/>
                    <w:rPr>
                      <w:color w:val="auto"/>
                    </w:rPr>
                  </w:pPr>
                  <w:r w:rsidRPr="008B522D">
                    <w:rPr>
                      <w:color w:val="auto"/>
                    </w:rPr>
                    <w:t>99.3</w:t>
                  </w:r>
                </w:p>
              </w:tc>
              <w:tc>
                <w:tcPr>
                  <w:tcW w:w="1805" w:type="dxa"/>
                  <w:shd w:val="clear" w:color="auto" w:fill="auto"/>
                </w:tcPr>
                <w:p w14:paraId="377E410F" w14:textId="77777777" w:rsidR="008A60D7" w:rsidRPr="00F759EE" w:rsidRDefault="008A60D7" w:rsidP="008A60D7">
                  <w:pPr>
                    <w:cnfStyle w:val="000000010000" w:firstRow="0" w:lastRow="0" w:firstColumn="0" w:lastColumn="0" w:oddVBand="0" w:evenVBand="0" w:oddHBand="0" w:evenHBand="1" w:firstRowFirstColumn="0" w:firstRowLastColumn="0" w:lastRowFirstColumn="0" w:lastRowLastColumn="0"/>
                    <w:rPr>
                      <w:color w:val="auto"/>
                    </w:rPr>
                  </w:pPr>
                  <w:r w:rsidRPr="008B522D">
                    <w:rPr>
                      <w:color w:val="auto"/>
                    </w:rPr>
                    <w:t>155.1</w:t>
                  </w:r>
                </w:p>
              </w:tc>
              <w:tc>
                <w:tcPr>
                  <w:tcW w:w="1805" w:type="dxa"/>
                  <w:shd w:val="clear" w:color="auto" w:fill="auto"/>
                </w:tcPr>
                <w:p w14:paraId="0192B5EB" w14:textId="77777777" w:rsidR="008A60D7" w:rsidRPr="00F759EE" w:rsidRDefault="008A60D7" w:rsidP="008A60D7">
                  <w:pPr>
                    <w:cnfStyle w:val="000000010000" w:firstRow="0" w:lastRow="0" w:firstColumn="0" w:lastColumn="0" w:oddVBand="0" w:evenVBand="0" w:oddHBand="0" w:evenHBand="1" w:firstRowFirstColumn="0" w:firstRowLastColumn="0" w:lastRowFirstColumn="0" w:lastRowLastColumn="0"/>
                    <w:rPr>
                      <w:color w:val="auto"/>
                    </w:rPr>
                  </w:pPr>
                  <w:r w:rsidRPr="008B522D">
                    <w:rPr>
                      <w:color w:val="auto"/>
                    </w:rPr>
                    <w:t>114.5</w:t>
                  </w:r>
                </w:p>
              </w:tc>
              <w:tc>
                <w:tcPr>
                  <w:tcW w:w="1805" w:type="dxa"/>
                  <w:shd w:val="clear" w:color="auto" w:fill="auto"/>
                </w:tcPr>
                <w:p w14:paraId="7459A733" w14:textId="77777777" w:rsidR="008A60D7" w:rsidRPr="00F759EE" w:rsidRDefault="008A60D7" w:rsidP="008A60D7">
                  <w:pPr>
                    <w:cnfStyle w:val="000000010000" w:firstRow="0" w:lastRow="0" w:firstColumn="0" w:lastColumn="0" w:oddVBand="0" w:evenVBand="0" w:oddHBand="0" w:evenHBand="1" w:firstRowFirstColumn="0" w:firstRowLastColumn="0" w:lastRowFirstColumn="0" w:lastRowLastColumn="0"/>
                    <w:rPr>
                      <w:color w:val="auto"/>
                    </w:rPr>
                  </w:pPr>
                  <w:r w:rsidRPr="008B522D">
                    <w:rPr>
                      <w:color w:val="auto"/>
                    </w:rPr>
                    <w:t>93.5</w:t>
                  </w:r>
                </w:p>
              </w:tc>
            </w:tr>
          </w:tbl>
          <w:p w14:paraId="64D1A6B3" w14:textId="2F0EC936" w:rsidR="00CA4411" w:rsidRPr="00F42D3B" w:rsidRDefault="00CA4411" w:rsidP="00E814C3">
            <w:pPr>
              <w:pStyle w:val="BodyText"/>
              <w:spacing w:before="120"/>
              <w:jc w:val="both"/>
              <w:rPr>
                <w:rFonts w:cs="Arial"/>
                <w:color w:val="000000" w:themeColor="text1"/>
                <w:kern w:val="0"/>
                <w:sz w:val="22"/>
                <w:szCs w:val="22"/>
                <w14:ligatures w14:val="none"/>
              </w:rPr>
            </w:pPr>
            <w:r w:rsidRPr="00F42D3B">
              <w:rPr>
                <w:rFonts w:cs="Arial"/>
                <w:b w:val="0"/>
                <w:bCs w:val="0"/>
                <w:color w:val="000000" w:themeColor="text1"/>
                <w:kern w:val="0"/>
                <w:sz w:val="22"/>
                <w:szCs w:val="22"/>
                <w14:ligatures w14:val="none"/>
              </w:rPr>
              <w:t>Associate Professor Ong</w:t>
            </w:r>
            <w:r w:rsidR="0059631F">
              <w:rPr>
                <w:rFonts w:cs="Arial"/>
                <w:b w:val="0"/>
                <w:bCs w:val="0"/>
                <w:color w:val="000000" w:themeColor="text1"/>
                <w:kern w:val="0"/>
                <w:sz w:val="22"/>
                <w:szCs w:val="22"/>
                <w14:ligatures w14:val="none"/>
              </w:rPr>
              <w:t xml:space="preserve">’s </w:t>
            </w:r>
            <w:r w:rsidRPr="00F42D3B">
              <w:rPr>
                <w:rFonts w:cs="Arial"/>
                <w:b w:val="0"/>
                <w:bCs w:val="0"/>
                <w:color w:val="000000" w:themeColor="text1"/>
                <w:kern w:val="0"/>
                <w:sz w:val="22"/>
                <w:szCs w:val="22"/>
                <w14:ligatures w14:val="none"/>
              </w:rPr>
              <w:t>top tip for those wishing to implement their own hub-and-spoke model is to ensure that acceptability and feasibility are discussed with GPs and other primary care clinicians, clients</w:t>
            </w:r>
            <w:r w:rsidR="006F0AC1">
              <w:rPr>
                <w:rFonts w:cs="Arial"/>
                <w:b w:val="0"/>
                <w:bCs w:val="0"/>
                <w:color w:val="000000" w:themeColor="text1"/>
                <w:kern w:val="0"/>
                <w:sz w:val="22"/>
                <w:szCs w:val="22"/>
                <w14:ligatures w14:val="none"/>
              </w:rPr>
              <w:t>,</w:t>
            </w:r>
            <w:r w:rsidRPr="00F42D3B">
              <w:rPr>
                <w:rFonts w:cs="Arial"/>
                <w:b w:val="0"/>
                <w:bCs w:val="0"/>
                <w:color w:val="000000" w:themeColor="text1"/>
                <w:kern w:val="0"/>
                <w:sz w:val="22"/>
                <w:szCs w:val="22"/>
                <w14:ligatures w14:val="none"/>
              </w:rPr>
              <w:t xml:space="preserve"> and funders prior to implementation and scale-up. ‘In particular, tailoring the training provided to GP spokes to meet the needs of each clinic is critical,’ he said. ‘Plus, we’ve heard from GPs that providing these services as a bulk-billed appointment is not sustainable, so we are investigating alternate models of reimbursement.’</w:t>
            </w:r>
          </w:p>
        </w:tc>
      </w:tr>
      <w:tr w:rsidR="00CA4411" w:rsidRPr="00F42D3B" w14:paraId="05901E33" w14:textId="77777777" w:rsidTr="00590D6F">
        <w:tc>
          <w:tcPr>
            <w:cnfStyle w:val="001000000000" w:firstRow="0" w:lastRow="0" w:firstColumn="1" w:lastColumn="0" w:oddVBand="0" w:evenVBand="0" w:oddHBand="0" w:evenHBand="0" w:firstRowFirstColumn="0" w:firstRowLastColumn="0" w:lastRowFirstColumn="0" w:lastRowLastColumn="0"/>
            <w:tcW w:w="4376" w:type="dxa"/>
            <w:gridSpan w:val="2"/>
            <w:shd w:val="clear" w:color="auto" w:fill="FBE4D5" w:themeFill="accent2" w:themeFillTint="33"/>
          </w:tcPr>
          <w:p w14:paraId="2B64CD7B" w14:textId="77777777" w:rsidR="00CA4411" w:rsidRPr="00F42D3B" w:rsidRDefault="00CA4411" w:rsidP="00F42D3B">
            <w:pPr>
              <w:pStyle w:val="BodyText"/>
              <w:spacing w:before="120"/>
              <w:jc w:val="both"/>
              <w:rPr>
                <w:rFonts w:cs="Arial"/>
                <w:b w:val="0"/>
                <w:bCs w:val="0"/>
                <w:color w:val="000000" w:themeColor="text1"/>
                <w:kern w:val="0"/>
                <w:sz w:val="22"/>
                <w:szCs w:val="22"/>
                <w14:ligatures w14:val="none"/>
              </w:rPr>
            </w:pPr>
            <w:r w:rsidRPr="00F42D3B">
              <w:rPr>
                <w:rFonts w:cs="Arial"/>
                <w:b w:val="0"/>
                <w:bCs w:val="0"/>
                <w:color w:val="000000" w:themeColor="text1"/>
                <w:kern w:val="0"/>
                <w:sz w:val="22"/>
                <w:szCs w:val="22"/>
                <w14:ligatures w14:val="none"/>
              </w:rPr>
              <w:t>More information</w:t>
            </w:r>
          </w:p>
        </w:tc>
        <w:tc>
          <w:tcPr>
            <w:tcW w:w="5467" w:type="dxa"/>
          </w:tcPr>
          <w:p w14:paraId="552B9F6E" w14:textId="77777777" w:rsidR="00CA4411" w:rsidRPr="00F42D3B" w:rsidRDefault="00853142" w:rsidP="00F42D3B">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u w:val="single"/>
                <w14:ligatures w14:val="none"/>
              </w:rPr>
            </w:pPr>
            <w:hyperlink r:id="rId105">
              <w:r w:rsidR="00CA4411" w:rsidRPr="00F42D3B">
                <w:rPr>
                  <w:rStyle w:val="Hyperlink"/>
                  <w:rFonts w:cs="Arial"/>
                  <w:sz w:val="22"/>
                  <w:szCs w:val="22"/>
                </w:rPr>
                <w:t>www.mshc.org.au</w:t>
              </w:r>
            </w:hyperlink>
          </w:p>
        </w:tc>
      </w:tr>
      <w:tr w:rsidR="00BE6E28" w:rsidRPr="00CA4411" w14:paraId="4BBBA4FA" w14:textId="77777777" w:rsidTr="00590D6F">
        <w:tc>
          <w:tcPr>
            <w:cnfStyle w:val="001000000000" w:firstRow="0" w:lastRow="0" w:firstColumn="1" w:lastColumn="0" w:oddVBand="0" w:evenVBand="0" w:oddHBand="0" w:evenHBand="0" w:firstRowFirstColumn="0" w:firstRowLastColumn="0" w:lastRowFirstColumn="0" w:lastRowLastColumn="0"/>
            <w:tcW w:w="9843" w:type="dxa"/>
            <w:gridSpan w:val="3"/>
            <w:shd w:val="clear" w:color="auto" w:fill="F7CAAC" w:themeFill="accent2" w:themeFillTint="66"/>
          </w:tcPr>
          <w:p w14:paraId="06D2455D" w14:textId="22630EBA" w:rsidR="00BE6E28" w:rsidRPr="006C29F2" w:rsidRDefault="008B43F1" w:rsidP="00C222C3">
            <w:pPr>
              <w:pStyle w:val="Heading3"/>
              <w:numPr>
                <w:ilvl w:val="0"/>
                <w:numId w:val="0"/>
              </w:numPr>
              <w:rPr>
                <w:rFonts w:cs="Arial"/>
                <w:b/>
                <w:bCs/>
              </w:rPr>
            </w:pPr>
            <w:bookmarkStart w:id="142" w:name="_Case_study:_Dispensing"/>
            <w:bookmarkStart w:id="143" w:name="_Toc148613974"/>
            <w:bookmarkStart w:id="144" w:name="_Toc150160975"/>
            <w:bookmarkEnd w:id="142"/>
            <w:r>
              <w:rPr>
                <w:rStyle w:val="Heading3Char"/>
                <w:rFonts w:ascii="ZWAdobeF" w:hAnsi="ZWAdobeF" w:cs="ZWAdobeF"/>
                <w:b w:val="0"/>
                <w:bCs w:val="0"/>
                <w:color w:val="auto"/>
                <w:sz w:val="2"/>
                <w:szCs w:val="2"/>
              </w:rPr>
              <w:lastRenderedPageBreak/>
              <w:t>0B</w:t>
            </w:r>
            <w:r w:rsidR="00BE6E28" w:rsidRPr="006C29F2">
              <w:rPr>
                <w:rStyle w:val="Heading3Char"/>
                <w:rFonts w:ascii="Arial" w:hAnsi="Arial" w:cs="Arial"/>
                <w:b w:val="0"/>
                <w:bCs w:val="0"/>
              </w:rPr>
              <w:t>Case study: Dispensing with access barriers:</w:t>
            </w:r>
            <w:r w:rsidR="00BE6E28" w:rsidRPr="006C29F2">
              <w:rPr>
                <w:rFonts w:ascii="Arial" w:hAnsi="Arial" w:cs="Arial"/>
              </w:rPr>
              <w:t xml:space="preserve"> Piloting STI vending machines to deliver free self-tests</w:t>
            </w:r>
            <w:bookmarkEnd w:id="143"/>
            <w:bookmarkEnd w:id="144"/>
          </w:p>
        </w:tc>
      </w:tr>
      <w:tr w:rsidR="00CA4411" w:rsidRPr="00CA4411" w14:paraId="0C152F9F" w14:textId="77777777" w:rsidTr="00590D6F">
        <w:tc>
          <w:tcPr>
            <w:cnfStyle w:val="001000000000" w:firstRow="0" w:lastRow="0" w:firstColumn="1" w:lastColumn="0" w:oddVBand="0" w:evenVBand="0" w:oddHBand="0" w:evenHBand="0" w:firstRowFirstColumn="0" w:firstRowLastColumn="0" w:lastRowFirstColumn="0" w:lastRowLastColumn="0"/>
            <w:tcW w:w="3101" w:type="dxa"/>
            <w:shd w:val="clear" w:color="auto" w:fill="FBE4D5" w:themeFill="accent2" w:themeFillTint="33"/>
          </w:tcPr>
          <w:p w14:paraId="78B4DA64" w14:textId="77777777" w:rsidR="00CA4411" w:rsidRPr="00CA4411" w:rsidRDefault="00CA4411" w:rsidP="00F42D3B">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Location</w:t>
            </w:r>
          </w:p>
        </w:tc>
        <w:tc>
          <w:tcPr>
            <w:tcW w:w="6742" w:type="dxa"/>
            <w:gridSpan w:val="2"/>
          </w:tcPr>
          <w:p w14:paraId="4D2B2AC9" w14:textId="77777777" w:rsidR="00CA4411" w:rsidRPr="00CA4411" w:rsidRDefault="00CA4411" w:rsidP="00F42D3B">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Victoria (rural)</w:t>
            </w:r>
          </w:p>
        </w:tc>
      </w:tr>
      <w:tr w:rsidR="00CA4411" w:rsidRPr="00CA4411" w14:paraId="0D30437C" w14:textId="77777777" w:rsidTr="00590D6F">
        <w:tc>
          <w:tcPr>
            <w:cnfStyle w:val="001000000000" w:firstRow="0" w:lastRow="0" w:firstColumn="1" w:lastColumn="0" w:oddVBand="0" w:evenVBand="0" w:oddHBand="0" w:evenHBand="0" w:firstRowFirstColumn="0" w:firstRowLastColumn="0" w:lastRowFirstColumn="0" w:lastRowLastColumn="0"/>
            <w:tcW w:w="3101" w:type="dxa"/>
            <w:shd w:val="clear" w:color="auto" w:fill="FBE4D5" w:themeFill="accent2" w:themeFillTint="33"/>
          </w:tcPr>
          <w:p w14:paraId="23D0AEFF" w14:textId="77777777" w:rsidR="00CA4411" w:rsidRPr="00CA4411" w:rsidRDefault="00CA4411" w:rsidP="00F42D3B">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Organisation</w:t>
            </w:r>
          </w:p>
        </w:tc>
        <w:tc>
          <w:tcPr>
            <w:tcW w:w="6742" w:type="dxa"/>
            <w:gridSpan w:val="2"/>
          </w:tcPr>
          <w:p w14:paraId="17D62403" w14:textId="77777777" w:rsidR="00CA4411" w:rsidRPr="00CA4411" w:rsidRDefault="00CA4411" w:rsidP="00F42D3B">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b/>
                <w:bCs/>
                <w:color w:val="000000" w:themeColor="text1"/>
                <w:kern w:val="0"/>
                <w:sz w:val="22"/>
                <w:szCs w:val="22"/>
                <w14:ligatures w14:val="none"/>
              </w:rPr>
            </w:pPr>
            <w:r w:rsidRPr="00CA4411">
              <w:rPr>
                <w:rFonts w:cs="Arial"/>
                <w:color w:val="000000" w:themeColor="text1"/>
                <w:kern w:val="0"/>
                <w:sz w:val="22"/>
                <w:szCs w:val="22"/>
                <w14:ligatures w14:val="none"/>
              </w:rPr>
              <w:t>Centre for Excellence in Rural Sexual Health (CERSH)</w:t>
            </w:r>
          </w:p>
        </w:tc>
      </w:tr>
      <w:tr w:rsidR="00CA4411" w:rsidRPr="00CA4411" w14:paraId="13A892FE" w14:textId="77777777" w:rsidTr="00590D6F">
        <w:tc>
          <w:tcPr>
            <w:cnfStyle w:val="001000000000" w:firstRow="0" w:lastRow="0" w:firstColumn="1" w:lastColumn="0" w:oddVBand="0" w:evenVBand="0" w:oddHBand="0" w:evenHBand="0" w:firstRowFirstColumn="0" w:firstRowLastColumn="0" w:lastRowFirstColumn="0" w:lastRowLastColumn="0"/>
            <w:tcW w:w="3101" w:type="dxa"/>
            <w:shd w:val="clear" w:color="auto" w:fill="FBE4D5" w:themeFill="accent2" w:themeFillTint="33"/>
          </w:tcPr>
          <w:p w14:paraId="0F99AEF6" w14:textId="77777777" w:rsidR="00CA4411" w:rsidRPr="00CA4411" w:rsidRDefault="00CA4411" w:rsidP="00F42D3B">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Strategy outcomes</w:t>
            </w:r>
          </w:p>
        </w:tc>
        <w:tc>
          <w:tcPr>
            <w:tcW w:w="6742" w:type="dxa"/>
            <w:gridSpan w:val="2"/>
          </w:tcPr>
          <w:p w14:paraId="6E86BCC2" w14:textId="0BB67601" w:rsidR="00AA015D" w:rsidRPr="00AA015D" w:rsidRDefault="00AA015D" w:rsidP="008B43F1">
            <w:pPr>
              <w:pStyle w:val="BodyText"/>
              <w:numPr>
                <w:ilvl w:val="0"/>
                <w:numId w:val="15"/>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Goal </w:t>
            </w:r>
            <w:r>
              <w:rPr>
                <w:rFonts w:cs="Arial"/>
                <w:color w:val="000000" w:themeColor="text1"/>
                <w:kern w:val="0"/>
                <w:sz w:val="22"/>
                <w:szCs w:val="22"/>
                <w14:ligatures w14:val="none"/>
              </w:rPr>
              <w:t>1</w:t>
            </w:r>
            <w:r w:rsidRPr="00CA4411">
              <w:rPr>
                <w:rFonts w:cs="Arial"/>
                <w:color w:val="000000" w:themeColor="text1"/>
                <w:kern w:val="0"/>
                <w:sz w:val="22"/>
                <w:szCs w:val="22"/>
                <w14:ligatures w14:val="none"/>
              </w:rPr>
              <w:t>: Reduce morbidity and complications from STI in Australia by scaling up evidence-based interventions</w:t>
            </w:r>
            <w:r w:rsidR="00B8394F">
              <w:rPr>
                <w:rFonts w:cs="Arial"/>
                <w:color w:val="000000" w:themeColor="text1"/>
                <w:kern w:val="0"/>
                <w:sz w:val="22"/>
                <w:szCs w:val="22"/>
                <w14:ligatures w14:val="none"/>
              </w:rPr>
              <w:t xml:space="preserve"> </w:t>
            </w:r>
            <w:r w:rsidR="00B8394F" w:rsidRPr="003B2996">
              <w:rPr>
                <w:rFonts w:cs="Arial"/>
                <w:color w:val="000000" w:themeColor="text1"/>
                <w:sz w:val="22"/>
                <w:szCs w:val="22"/>
              </w:rPr>
              <w:t xml:space="preserve">to enhance access to quality </w:t>
            </w:r>
            <w:r w:rsidR="00DF6594" w:rsidRPr="003B2996">
              <w:rPr>
                <w:rFonts w:cs="Arial"/>
                <w:color w:val="000000" w:themeColor="text1"/>
                <w:sz w:val="22"/>
                <w:szCs w:val="22"/>
              </w:rPr>
              <w:t>STI and sexual health services for all when needed</w:t>
            </w:r>
            <w:r w:rsidRPr="003B2996">
              <w:rPr>
                <w:rFonts w:cs="Arial"/>
                <w:color w:val="000000" w:themeColor="text1"/>
                <w:sz w:val="22"/>
                <w:szCs w:val="22"/>
              </w:rPr>
              <w:t>.</w:t>
            </w:r>
            <w:r w:rsidRPr="00CA4411">
              <w:rPr>
                <w:rFonts w:cs="Arial"/>
                <w:color w:val="000000" w:themeColor="text1"/>
                <w:kern w:val="0"/>
                <w:sz w:val="22"/>
                <w:szCs w:val="22"/>
                <w14:ligatures w14:val="none"/>
              </w:rPr>
              <w:t xml:space="preserve"> </w:t>
            </w:r>
          </w:p>
          <w:p w14:paraId="0EA012C9" w14:textId="7FFB80BD" w:rsidR="00FF668B" w:rsidRPr="00FF668B" w:rsidRDefault="00CA4411" w:rsidP="008B43F1">
            <w:pPr>
              <w:pStyle w:val="BodyText"/>
              <w:numPr>
                <w:ilvl w:val="0"/>
                <w:numId w:val="15"/>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Goal </w:t>
            </w:r>
            <w:r w:rsidR="00FF668B">
              <w:rPr>
                <w:rFonts w:cs="Arial"/>
                <w:color w:val="000000" w:themeColor="text1"/>
                <w:kern w:val="0"/>
                <w:sz w:val="22"/>
                <w:szCs w:val="22"/>
                <w14:ligatures w14:val="none"/>
              </w:rPr>
              <w:t>3</w:t>
            </w:r>
            <w:r w:rsidRPr="00CA4411">
              <w:rPr>
                <w:rFonts w:cs="Arial"/>
                <w:color w:val="000000" w:themeColor="text1"/>
                <w:kern w:val="0"/>
                <w:sz w:val="22"/>
                <w:szCs w:val="22"/>
                <w14:ligatures w14:val="none"/>
              </w:rPr>
              <w:t xml:space="preserve">: Increase awareness and understanding of STI as part of sexual </w:t>
            </w:r>
            <w:r w:rsidR="00FF668B">
              <w:rPr>
                <w:rFonts w:cs="Arial"/>
                <w:color w:val="000000" w:themeColor="text1"/>
                <w:kern w:val="0"/>
                <w:sz w:val="22"/>
                <w:szCs w:val="22"/>
                <w14:ligatures w14:val="none"/>
              </w:rPr>
              <w:t xml:space="preserve">and reproductive </w:t>
            </w:r>
            <w:r w:rsidRPr="00CA4411">
              <w:rPr>
                <w:rFonts w:cs="Arial"/>
                <w:color w:val="000000" w:themeColor="text1"/>
                <w:kern w:val="0"/>
                <w:sz w:val="22"/>
                <w:szCs w:val="22"/>
                <w14:ligatures w14:val="none"/>
              </w:rPr>
              <w:t>health for all in Australia</w:t>
            </w:r>
            <w:r w:rsidR="00FF668B">
              <w:rPr>
                <w:rFonts w:cs="Arial"/>
                <w:color w:val="000000" w:themeColor="text1"/>
                <w:kern w:val="0"/>
                <w:sz w:val="22"/>
                <w:szCs w:val="22"/>
                <w14:ligatures w14:val="none"/>
              </w:rPr>
              <w:t>.</w:t>
            </w:r>
          </w:p>
          <w:p w14:paraId="5FDBF08F" w14:textId="16950793" w:rsidR="00CA4411" w:rsidRPr="00CA4411" w:rsidRDefault="00CA4411" w:rsidP="003F5976">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p>
        </w:tc>
      </w:tr>
      <w:tr w:rsidR="00CA4411" w:rsidRPr="00CA4411" w14:paraId="2698120D" w14:textId="77777777" w:rsidTr="00590D6F">
        <w:tc>
          <w:tcPr>
            <w:cnfStyle w:val="001000000000" w:firstRow="0" w:lastRow="0" w:firstColumn="1" w:lastColumn="0" w:oddVBand="0" w:evenVBand="0" w:oddHBand="0" w:evenHBand="0" w:firstRowFirstColumn="0" w:firstRowLastColumn="0" w:lastRowFirstColumn="0" w:lastRowLastColumn="0"/>
            <w:tcW w:w="9843" w:type="dxa"/>
            <w:gridSpan w:val="3"/>
          </w:tcPr>
          <w:p w14:paraId="451BC31C" w14:textId="77777777" w:rsidR="00CA4411" w:rsidRPr="00CA4411" w:rsidRDefault="00CA4411" w:rsidP="00F42D3B">
            <w:pPr>
              <w:pStyle w:val="BodyText"/>
              <w:spacing w:before="120"/>
              <w:jc w:val="both"/>
              <w:rPr>
                <w:rFonts w:cs="Arial"/>
                <w:b w:val="0"/>
                <w:bCs w:val="0"/>
                <w:i/>
                <w:color w:val="000000" w:themeColor="text1"/>
                <w:kern w:val="0"/>
                <w:sz w:val="22"/>
                <w:szCs w:val="22"/>
                <w14:ligatures w14:val="none"/>
              </w:rPr>
            </w:pPr>
            <w:r w:rsidRPr="00CA4411">
              <w:rPr>
                <w:rFonts w:cs="Arial"/>
                <w:b w:val="0"/>
                <w:bCs w:val="0"/>
                <w:i/>
                <w:color w:val="000000" w:themeColor="text1"/>
                <w:kern w:val="0"/>
                <w:sz w:val="22"/>
                <w:szCs w:val="22"/>
                <w14:ligatures w14:val="none"/>
              </w:rPr>
              <w:t xml:space="preserve">‘We are always looking for innovative ways to help the regional and rural communities in which we live and work. If these machines enable people to complete an STI test and find out their status, it’s a win for us.’ </w:t>
            </w:r>
          </w:p>
          <w:p w14:paraId="5518E2C9" w14:textId="77777777" w:rsidR="00CA4411" w:rsidRPr="00CA4411" w:rsidRDefault="00CA4411" w:rsidP="00F42D3B">
            <w:pPr>
              <w:pStyle w:val="BodyText"/>
              <w:spacing w:before="120"/>
              <w:jc w:val="both"/>
              <w:rPr>
                <w:rFonts w:cs="Arial"/>
                <w:b w:val="0"/>
                <w:bCs w:val="0"/>
                <w:color w:val="000000" w:themeColor="text1"/>
                <w:kern w:val="0"/>
                <w:sz w:val="22"/>
                <w:szCs w:val="22"/>
                <w14:ligatures w14:val="none"/>
              </w:rPr>
            </w:pPr>
            <w:r w:rsidRPr="00CA4411">
              <w:rPr>
                <w:rFonts w:cs="Arial"/>
                <w:b w:val="0"/>
                <w:bCs w:val="0"/>
                <w:i/>
                <w:color w:val="000000" w:themeColor="text1"/>
                <w:kern w:val="0"/>
                <w:sz w:val="22"/>
                <w:szCs w:val="22"/>
                <w14:ligatures w14:val="none"/>
              </w:rPr>
              <w:t>–</w:t>
            </w:r>
            <w:r w:rsidRPr="00CA4411">
              <w:rPr>
                <w:rFonts w:cs="Arial"/>
                <w:b w:val="0"/>
                <w:bCs w:val="0"/>
                <w:color w:val="000000" w:themeColor="text1"/>
                <w:kern w:val="0"/>
                <w:sz w:val="22"/>
                <w:szCs w:val="22"/>
                <w14:ligatures w14:val="none"/>
              </w:rPr>
              <w:t xml:space="preserve"> Dr David Evans, Senior Health Promotion Manager, Centre for Excellence in Rural Sexual Health </w:t>
            </w:r>
          </w:p>
          <w:p w14:paraId="36C11C27" w14:textId="4433A749" w:rsidR="00CA4411" w:rsidRPr="00CA4411" w:rsidRDefault="00CA4411" w:rsidP="00F42D3B">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In March 2023, CERSH, with the Melbourne Sexual Health Centre (MSHC), announced a new joint initiative – STI test vending machines. The machines dispense free self-testing kits for chlamydia and </w:t>
            </w:r>
            <w:r w:rsidR="00C827D0" w:rsidRPr="00CA4411">
              <w:rPr>
                <w:rFonts w:cs="Arial"/>
                <w:b w:val="0"/>
                <w:bCs w:val="0"/>
                <w:color w:val="000000" w:themeColor="text1"/>
                <w:kern w:val="0"/>
                <w:sz w:val="22"/>
                <w:szCs w:val="22"/>
                <w14:ligatures w14:val="none"/>
              </w:rPr>
              <w:t>gonorrhoea and</w:t>
            </w:r>
            <w:r w:rsidRPr="00CA4411">
              <w:rPr>
                <w:rFonts w:cs="Arial"/>
                <w:b w:val="0"/>
                <w:bCs w:val="0"/>
                <w:color w:val="000000" w:themeColor="text1"/>
                <w:kern w:val="0"/>
                <w:sz w:val="22"/>
                <w:szCs w:val="22"/>
                <w14:ligatures w14:val="none"/>
              </w:rPr>
              <w:t xml:space="preserve"> require only electricity and a mobile phone service to function. This makes it easy to place them in rural communities that lack health services or where there may be other barriers to access. After completing their test, the self-tester places it in a pre-paid postage box and posts it to MSHC. If treatment is required, a specialist will follow up by phone to discuss options.</w:t>
            </w:r>
          </w:p>
          <w:p w14:paraId="2961C38F" w14:textId="41DD8971" w:rsidR="00CA4411" w:rsidRPr="00CA4411" w:rsidRDefault="00CA4411" w:rsidP="00F42D3B">
            <w:pPr>
              <w:pStyle w:val="BodyText"/>
              <w:spacing w:before="120"/>
              <w:jc w:val="both"/>
              <w:rPr>
                <w:rFonts w:cs="Arial"/>
                <w:color w:val="000000" w:themeColor="text1"/>
                <w:kern w:val="0"/>
                <w:sz w:val="22"/>
                <w:szCs w:val="22"/>
                <w14:ligatures w14:val="none"/>
              </w:rPr>
            </w:pPr>
            <w:r w:rsidRPr="00CA4411">
              <w:rPr>
                <w:rFonts w:cs="Arial"/>
                <w:b w:val="0"/>
                <w:bCs w:val="0"/>
                <w:color w:val="000000" w:themeColor="text1"/>
                <w:kern w:val="0"/>
                <w:sz w:val="22"/>
                <w:szCs w:val="22"/>
                <w14:ligatures w14:val="none"/>
              </w:rPr>
              <w:t>For the pilot period of one year, success will be determined through participant satisfaction and any demonstrable uptake of testing from people who routinely do not test or have never tested. Buy-in from health professionals in the community is crucial, according to Dr Evans. ‘These machines excel at providing access to testing in marginalised communities where barriers, such as poor transportation and privacy concerns, exist,’ he said. ‘But they cannot offer local health promotion and treatment support.’</w:t>
            </w:r>
          </w:p>
        </w:tc>
      </w:tr>
      <w:tr w:rsidR="00CA4411" w:rsidRPr="00CA4411" w14:paraId="17046314" w14:textId="77777777" w:rsidTr="00590D6F">
        <w:tc>
          <w:tcPr>
            <w:cnfStyle w:val="001000000000" w:firstRow="0" w:lastRow="0" w:firstColumn="1" w:lastColumn="0" w:oddVBand="0" w:evenVBand="0" w:oddHBand="0" w:evenHBand="0" w:firstRowFirstColumn="0" w:firstRowLastColumn="0" w:lastRowFirstColumn="0" w:lastRowLastColumn="0"/>
            <w:tcW w:w="3101" w:type="dxa"/>
            <w:shd w:val="clear" w:color="auto" w:fill="FBE4D5" w:themeFill="accent2" w:themeFillTint="33"/>
          </w:tcPr>
          <w:p w14:paraId="32F9530B" w14:textId="77777777" w:rsidR="00CA4411" w:rsidRPr="00CA4411" w:rsidRDefault="00CA4411" w:rsidP="00F42D3B">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More information </w:t>
            </w:r>
          </w:p>
        </w:tc>
        <w:tc>
          <w:tcPr>
            <w:tcW w:w="6742" w:type="dxa"/>
            <w:gridSpan w:val="2"/>
          </w:tcPr>
          <w:p w14:paraId="21F38A11" w14:textId="77777777" w:rsidR="00CA4411" w:rsidRPr="00CA4411" w:rsidRDefault="00CA4411" w:rsidP="00F42D3B">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medicine.unimelb.edu.au/cersh  </w:t>
            </w:r>
          </w:p>
        </w:tc>
      </w:tr>
    </w:tbl>
    <w:p w14:paraId="20664904" w14:textId="140E9618" w:rsidR="00A733B0" w:rsidRDefault="00A733B0">
      <w:pPr>
        <w:rPr>
          <w:rFonts w:eastAsiaTheme="majorEastAsia" w:cs="Arial"/>
          <w:b/>
          <w:bCs/>
          <w:color w:val="000000" w:themeColor="text1"/>
          <w:sz w:val="28"/>
          <w:szCs w:val="28"/>
        </w:rPr>
      </w:pPr>
      <w:bookmarkStart w:id="145" w:name="_Toc148613975"/>
      <w:bookmarkStart w:id="146" w:name="_Toc150160976"/>
      <w:r>
        <w:rPr>
          <w:rFonts w:cs="Arial"/>
          <w:sz w:val="28"/>
          <w:szCs w:val="28"/>
        </w:rPr>
        <w:br w:type="page"/>
      </w:r>
    </w:p>
    <w:p w14:paraId="16593ECD" w14:textId="5DE68720" w:rsidR="00CA4411" w:rsidRPr="0085184A" w:rsidRDefault="00420035" w:rsidP="0085184A">
      <w:pPr>
        <w:pStyle w:val="Heading2"/>
        <w:rPr>
          <w:rFonts w:ascii="Arial" w:hAnsi="Arial" w:cs="Arial"/>
          <w:sz w:val="28"/>
          <w:szCs w:val="28"/>
        </w:rPr>
      </w:pPr>
      <w:bookmarkStart w:id="147" w:name="_Toc163737200"/>
      <w:bookmarkEnd w:id="145"/>
      <w:bookmarkEnd w:id="146"/>
      <w:r>
        <w:rPr>
          <w:rFonts w:ascii="Arial" w:hAnsi="Arial" w:cs="Arial"/>
          <w:sz w:val="28"/>
          <w:szCs w:val="28"/>
        </w:rPr>
        <w:lastRenderedPageBreak/>
        <w:t>Workforce development</w:t>
      </w:r>
      <w:bookmarkEnd w:id="147"/>
    </w:p>
    <w:tbl>
      <w:tblPr>
        <w:tblStyle w:val="GridTable1Light"/>
        <w:tblW w:w="9843" w:type="dxa"/>
        <w:tblBorders>
          <w:top w:val="single" w:sz="18" w:space="0" w:color="FF9F1C"/>
          <w:left w:val="single" w:sz="18" w:space="0" w:color="FF9F1C"/>
          <w:bottom w:val="single" w:sz="18" w:space="0" w:color="FF9F1C"/>
          <w:right w:val="single" w:sz="18" w:space="0" w:color="FF9F1C"/>
          <w:insideH w:val="single" w:sz="4" w:space="0" w:color="FF9F1C"/>
        </w:tblBorders>
        <w:tblCellMar>
          <w:left w:w="142" w:type="dxa"/>
          <w:right w:w="142" w:type="dxa"/>
        </w:tblCellMar>
        <w:tblLook w:val="04A0" w:firstRow="1" w:lastRow="0" w:firstColumn="1" w:lastColumn="0" w:noHBand="0" w:noVBand="1"/>
      </w:tblPr>
      <w:tblGrid>
        <w:gridCol w:w="4209"/>
        <w:gridCol w:w="5634"/>
      </w:tblGrid>
      <w:tr w:rsidR="00BE6E28" w:rsidRPr="008B230A" w14:paraId="4D31F080" w14:textId="77777777" w:rsidTr="003B2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18" w:space="0" w:color="FF9F1C"/>
              <w:bottom w:val="single" w:sz="4" w:space="0" w:color="FF9F1C"/>
            </w:tcBorders>
            <w:shd w:val="clear" w:color="auto" w:fill="F7CAAC" w:themeFill="accent2" w:themeFillTint="66"/>
          </w:tcPr>
          <w:p w14:paraId="1B6357F4" w14:textId="0CCFFE7F" w:rsidR="00BE6E28" w:rsidRPr="006362EB" w:rsidRDefault="008B43F1" w:rsidP="0085184A">
            <w:pPr>
              <w:pStyle w:val="Heading3"/>
              <w:numPr>
                <w:ilvl w:val="0"/>
                <w:numId w:val="0"/>
              </w:numPr>
              <w:rPr>
                <w:rFonts w:cs="Arial"/>
              </w:rPr>
            </w:pPr>
            <w:bookmarkStart w:id="148" w:name="_Case_study:_Meeting"/>
            <w:bookmarkStart w:id="149" w:name="_Toc148613976"/>
            <w:bookmarkStart w:id="150" w:name="_Toc150160977"/>
            <w:bookmarkEnd w:id="148"/>
            <w:r>
              <w:rPr>
                <w:rStyle w:val="Heading3Char"/>
                <w:rFonts w:ascii="ZWAdobeF" w:hAnsi="ZWAdobeF" w:cs="ZWAdobeF"/>
                <w:b w:val="0"/>
                <w:color w:val="auto"/>
                <w:sz w:val="2"/>
                <w:szCs w:val="2"/>
              </w:rPr>
              <w:t>1B</w:t>
            </w:r>
            <w:r w:rsidR="00BE6E28" w:rsidRPr="00C222C3">
              <w:rPr>
                <w:rStyle w:val="Heading3Char"/>
                <w:rFonts w:ascii="Arial" w:hAnsi="Arial" w:cs="Arial"/>
              </w:rPr>
              <w:t xml:space="preserve">Case study: </w:t>
            </w:r>
            <w:r w:rsidR="00817616" w:rsidRPr="00C222C3">
              <w:rPr>
                <w:rStyle w:val="Heading3Char"/>
                <w:rFonts w:ascii="Arial" w:hAnsi="Arial" w:cs="Arial"/>
              </w:rPr>
              <w:t>Meetin</w:t>
            </w:r>
            <w:r w:rsidR="00343D54" w:rsidRPr="00C222C3">
              <w:rPr>
                <w:rStyle w:val="Heading3Char"/>
                <w:rFonts w:ascii="Arial" w:hAnsi="Arial" w:cs="Arial"/>
              </w:rPr>
              <w:t>g</w:t>
            </w:r>
            <w:r w:rsidR="00BE6E28" w:rsidRPr="00C222C3">
              <w:rPr>
                <w:rStyle w:val="Heading3Char"/>
                <w:rFonts w:ascii="Arial" w:hAnsi="Arial" w:cs="Arial"/>
              </w:rPr>
              <w:t xml:space="preserve"> </w:t>
            </w:r>
            <w:r w:rsidR="00F22971" w:rsidRPr="00C222C3">
              <w:rPr>
                <w:rStyle w:val="Heading3Char"/>
                <w:rFonts w:ascii="Arial" w:hAnsi="Arial" w:cs="Arial"/>
              </w:rPr>
              <w:t>communities’</w:t>
            </w:r>
            <w:r w:rsidR="00BE6E28" w:rsidRPr="00C222C3">
              <w:rPr>
                <w:rStyle w:val="Heading3Char"/>
                <w:rFonts w:ascii="Arial" w:hAnsi="Arial" w:cs="Arial"/>
              </w:rPr>
              <w:t xml:space="preserve"> </w:t>
            </w:r>
            <w:r w:rsidR="00343D54" w:rsidRPr="00C222C3">
              <w:rPr>
                <w:rStyle w:val="Heading3Char"/>
                <w:rFonts w:ascii="Arial" w:hAnsi="Arial" w:cs="Arial"/>
              </w:rPr>
              <w:t>needs</w:t>
            </w:r>
            <w:r w:rsidR="00BE6E28" w:rsidRPr="00C222C3">
              <w:rPr>
                <w:rStyle w:val="Heading3Char"/>
                <w:rFonts w:ascii="Arial" w:hAnsi="Arial" w:cs="Arial"/>
              </w:rPr>
              <w:t>:</w:t>
            </w:r>
            <w:r w:rsidR="00BE6E28" w:rsidRPr="00C222C3">
              <w:rPr>
                <w:rFonts w:ascii="Arial" w:hAnsi="Arial" w:cs="Arial"/>
              </w:rPr>
              <w:t xml:space="preserve"> Tailoring culturally appropriate services to control syphilis</w:t>
            </w:r>
            <w:bookmarkEnd w:id="149"/>
            <w:bookmarkEnd w:id="150"/>
          </w:p>
        </w:tc>
      </w:tr>
      <w:tr w:rsidR="00865DBB" w:rsidRPr="008B230A" w14:paraId="1958B63B" w14:textId="77777777" w:rsidTr="00BD0E2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9F1C"/>
              <w:bottom w:val="single" w:sz="4" w:space="0" w:color="FF9F1C"/>
              <w:right w:val="nil"/>
            </w:tcBorders>
            <w:shd w:val="clear" w:color="auto" w:fill="FBE4D5" w:themeFill="accent2" w:themeFillTint="33"/>
          </w:tcPr>
          <w:p w14:paraId="0FE43592" w14:textId="77777777"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Location</w:t>
            </w:r>
          </w:p>
        </w:tc>
        <w:tc>
          <w:tcPr>
            <w:tcW w:w="0" w:type="dxa"/>
            <w:tcBorders>
              <w:top w:val="single" w:sz="4" w:space="0" w:color="FF9F1C"/>
              <w:left w:val="nil"/>
              <w:bottom w:val="single" w:sz="4" w:space="0" w:color="FF9F1C"/>
              <w:right w:val="single" w:sz="18" w:space="0" w:color="FF9F1C"/>
            </w:tcBorders>
          </w:tcPr>
          <w:p w14:paraId="40E7D810" w14:textId="77777777" w:rsidR="00CA4411" w:rsidRPr="008B230A" w:rsidRDefault="00CA4411" w:rsidP="00AB1BA4">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b/>
                <w:bCs/>
                <w:color w:val="000000" w:themeColor="text1"/>
                <w:kern w:val="0"/>
                <w:sz w:val="22"/>
                <w:szCs w:val="22"/>
                <w14:ligatures w14:val="none"/>
              </w:rPr>
            </w:pPr>
            <w:r w:rsidRPr="008B230A">
              <w:rPr>
                <w:rFonts w:cs="Arial"/>
                <w:color w:val="000000" w:themeColor="text1"/>
                <w:kern w:val="0"/>
                <w:sz w:val="22"/>
                <w:szCs w:val="22"/>
                <w14:ligatures w14:val="none"/>
              </w:rPr>
              <w:t>Kimberley, Western Australia</w:t>
            </w:r>
          </w:p>
        </w:tc>
      </w:tr>
      <w:tr w:rsidR="00865DBB" w:rsidRPr="008B230A" w14:paraId="185E5629" w14:textId="77777777" w:rsidTr="00BD0E2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9F1C"/>
              <w:bottom w:val="single" w:sz="4" w:space="0" w:color="FF9F1C"/>
              <w:right w:val="nil"/>
            </w:tcBorders>
            <w:shd w:val="clear" w:color="auto" w:fill="FBE4D5" w:themeFill="accent2" w:themeFillTint="33"/>
          </w:tcPr>
          <w:p w14:paraId="7B53B5CB" w14:textId="77777777"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Organisation</w:t>
            </w:r>
          </w:p>
        </w:tc>
        <w:tc>
          <w:tcPr>
            <w:tcW w:w="0" w:type="dxa"/>
            <w:tcBorders>
              <w:top w:val="single" w:sz="4" w:space="0" w:color="FF9F1C"/>
              <w:left w:val="nil"/>
              <w:bottom w:val="single" w:sz="4" w:space="0" w:color="FF9F1C"/>
              <w:right w:val="single" w:sz="18" w:space="0" w:color="FF9F1C"/>
            </w:tcBorders>
          </w:tcPr>
          <w:p w14:paraId="55722E12" w14:textId="77777777" w:rsidR="00CA4411" w:rsidRPr="008B230A" w:rsidRDefault="00CA4411" w:rsidP="00AB1BA4">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8B230A">
              <w:rPr>
                <w:rFonts w:cs="Arial"/>
                <w:color w:val="000000" w:themeColor="text1"/>
                <w:kern w:val="0"/>
                <w:sz w:val="22"/>
                <w:szCs w:val="22"/>
                <w14:ligatures w14:val="none"/>
              </w:rPr>
              <w:t>Kimberley Aboriginal Medical Service and National Aboriginal Community Controlled Health Organisation</w:t>
            </w:r>
          </w:p>
        </w:tc>
      </w:tr>
      <w:tr w:rsidR="00865DBB" w:rsidRPr="008B230A" w14:paraId="5C0DCCB2" w14:textId="77777777" w:rsidTr="00BD0E2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9F1C"/>
              <w:bottom w:val="single" w:sz="4" w:space="0" w:color="FF9F1C"/>
              <w:right w:val="nil"/>
            </w:tcBorders>
            <w:shd w:val="clear" w:color="auto" w:fill="FBE4D5" w:themeFill="accent2" w:themeFillTint="33"/>
          </w:tcPr>
          <w:p w14:paraId="761C32C4" w14:textId="77777777"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Strategy outcomes</w:t>
            </w:r>
          </w:p>
        </w:tc>
        <w:tc>
          <w:tcPr>
            <w:tcW w:w="0" w:type="dxa"/>
            <w:tcBorders>
              <w:top w:val="single" w:sz="4" w:space="0" w:color="FF9F1C"/>
              <w:left w:val="nil"/>
              <w:bottom w:val="single" w:sz="4" w:space="0" w:color="FF9F1C"/>
              <w:right w:val="single" w:sz="18" w:space="0" w:color="FF9F1C"/>
            </w:tcBorders>
          </w:tcPr>
          <w:p w14:paraId="38BCA4A4" w14:textId="33E20A4F" w:rsidR="005215D0" w:rsidRPr="003B2996" w:rsidRDefault="005215D0" w:rsidP="008B43F1">
            <w:pPr>
              <w:pStyle w:val="BodyText"/>
              <w:numPr>
                <w:ilvl w:val="0"/>
                <w:numId w:val="16"/>
              </w:numPr>
              <w:spacing w:before="60" w:after="60"/>
              <w:jc w:val="both"/>
              <w:cnfStyle w:val="000000000000" w:firstRow="0" w:lastRow="0" w:firstColumn="0" w:lastColumn="0" w:oddVBand="0" w:evenVBand="0" w:oddHBand="0" w:evenHBand="0" w:firstRowFirstColumn="0" w:firstRowLastColumn="0" w:lastRowFirstColumn="0" w:lastRowLastColumn="0"/>
              <w:rPr>
                <w:rFonts w:cs="Arial"/>
                <w:b/>
                <w:color w:val="000000" w:themeColor="text1"/>
                <w:kern w:val="0"/>
                <w:sz w:val="22"/>
                <w:szCs w:val="22"/>
                <w14:ligatures w14:val="none"/>
              </w:rPr>
            </w:pPr>
            <w:r w:rsidRPr="003B2996">
              <w:rPr>
                <w:rFonts w:cs="Arial"/>
                <w:color w:val="000000" w:themeColor="text1"/>
                <w:sz w:val="22"/>
                <w:szCs w:val="22"/>
              </w:rPr>
              <w:t>Goal 1: Reduce morbidity and complications from STI in Australia by scaling up evidence-based interventions</w:t>
            </w:r>
            <w:r w:rsidR="00AF4844" w:rsidRPr="003B2996">
              <w:rPr>
                <w:rFonts w:cs="Arial"/>
                <w:color w:val="000000" w:themeColor="text1"/>
                <w:sz w:val="22"/>
                <w:szCs w:val="22"/>
              </w:rPr>
              <w:t xml:space="preserve"> </w:t>
            </w:r>
          </w:p>
          <w:p w14:paraId="32D47B2C" w14:textId="2464CFD4" w:rsidR="00CA4411" w:rsidRPr="003B2996" w:rsidRDefault="00CA4411" w:rsidP="008B43F1">
            <w:pPr>
              <w:pStyle w:val="BodyText"/>
              <w:numPr>
                <w:ilvl w:val="0"/>
                <w:numId w:val="16"/>
              </w:numPr>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w:t>
            </w:r>
            <w:r w:rsidR="00D47CEB" w:rsidRPr="003B2996">
              <w:rPr>
                <w:rFonts w:cs="Arial"/>
                <w:color w:val="000000" w:themeColor="text1"/>
                <w:sz w:val="22"/>
                <w:szCs w:val="22"/>
              </w:rPr>
              <w:t>2</w:t>
            </w:r>
            <w:r w:rsidRPr="003B2996">
              <w:rPr>
                <w:rFonts w:cs="Arial"/>
                <w:color w:val="000000" w:themeColor="text1"/>
                <w:sz w:val="22"/>
                <w:szCs w:val="22"/>
              </w:rPr>
              <w:t xml:space="preserve">: Integrate person-centred systems for better sexual </w:t>
            </w:r>
            <w:r w:rsidR="00C33EFD" w:rsidRPr="003B2996">
              <w:rPr>
                <w:rFonts w:cs="Arial"/>
                <w:color w:val="000000" w:themeColor="text1"/>
                <w:sz w:val="22"/>
                <w:szCs w:val="22"/>
              </w:rPr>
              <w:t xml:space="preserve">and reproductive </w:t>
            </w:r>
            <w:r w:rsidRPr="003B2996">
              <w:rPr>
                <w:rFonts w:cs="Arial"/>
                <w:color w:val="000000" w:themeColor="text1"/>
                <w:sz w:val="22"/>
                <w:szCs w:val="22"/>
              </w:rPr>
              <w:t>health for all</w:t>
            </w:r>
          </w:p>
          <w:p w14:paraId="2CF6C7C4" w14:textId="5EA68C1A" w:rsidR="00545A15" w:rsidRPr="003B2996" w:rsidRDefault="00CA4411" w:rsidP="008B43F1">
            <w:pPr>
              <w:pStyle w:val="BodyText"/>
              <w:numPr>
                <w:ilvl w:val="0"/>
                <w:numId w:val="16"/>
              </w:numPr>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w:t>
            </w:r>
            <w:r w:rsidR="005215D0" w:rsidRPr="003B2996">
              <w:rPr>
                <w:rFonts w:cs="Arial"/>
                <w:color w:val="000000" w:themeColor="text1"/>
                <w:sz w:val="22"/>
                <w:szCs w:val="22"/>
              </w:rPr>
              <w:t>3</w:t>
            </w:r>
            <w:r w:rsidRPr="003B2996">
              <w:rPr>
                <w:rFonts w:cs="Arial"/>
                <w:color w:val="000000" w:themeColor="text1"/>
                <w:sz w:val="22"/>
                <w:szCs w:val="22"/>
              </w:rPr>
              <w:t xml:space="preserve">: Increase awareness and understanding of STI as part of sexual </w:t>
            </w:r>
            <w:r w:rsidR="00D47CEB" w:rsidRPr="003B2996">
              <w:rPr>
                <w:rFonts w:cs="Arial"/>
                <w:color w:val="000000" w:themeColor="text1"/>
                <w:sz w:val="22"/>
                <w:szCs w:val="22"/>
              </w:rPr>
              <w:t xml:space="preserve">and reproductive </w:t>
            </w:r>
            <w:r w:rsidRPr="003B2996">
              <w:rPr>
                <w:rFonts w:cs="Arial"/>
                <w:color w:val="000000" w:themeColor="text1"/>
                <w:sz w:val="22"/>
                <w:szCs w:val="22"/>
              </w:rPr>
              <w:t>health for all in Australia</w:t>
            </w:r>
            <w:r w:rsidR="00EC79E2" w:rsidRPr="003B2996">
              <w:rPr>
                <w:rFonts w:cs="Arial"/>
                <w:color w:val="000000" w:themeColor="text1"/>
                <w:sz w:val="22"/>
                <w:szCs w:val="22"/>
              </w:rPr>
              <w:t xml:space="preserve"> </w:t>
            </w:r>
          </w:p>
          <w:p w14:paraId="7C080DFE" w14:textId="77777777" w:rsidR="00CA4411" w:rsidRPr="008B230A" w:rsidRDefault="00CA4411" w:rsidP="008B43F1">
            <w:pPr>
              <w:pStyle w:val="BodyText"/>
              <w:numPr>
                <w:ilvl w:val="0"/>
                <w:numId w:val="16"/>
              </w:numPr>
              <w:spacing w:before="60" w:after="60"/>
              <w:jc w:val="both"/>
              <w:cnfStyle w:val="000000000000" w:firstRow="0" w:lastRow="0" w:firstColumn="0" w:lastColumn="0" w:oddVBand="0" w:evenVBand="0" w:oddHBand="0" w:evenHBand="0" w:firstRowFirstColumn="0" w:firstRowLastColumn="0" w:lastRowFirstColumn="0" w:lastRowLastColumn="0"/>
              <w:rPr>
                <w:rFonts w:cs="Arial"/>
                <w:b/>
                <w:bCs/>
                <w:color w:val="000000" w:themeColor="text1"/>
                <w:kern w:val="0"/>
                <w:sz w:val="22"/>
                <w:szCs w:val="22"/>
                <w14:ligatures w14:val="none"/>
              </w:rPr>
            </w:pPr>
            <w:r w:rsidRPr="003B2996">
              <w:rPr>
                <w:rFonts w:cs="Arial"/>
                <w:color w:val="000000" w:themeColor="text1"/>
                <w:sz w:val="22"/>
                <w:szCs w:val="22"/>
              </w:rPr>
              <w:t>Goal 4: Eliminate the negative impact of stigma, discrimination, and legal and human rights issues on people’s health.</w:t>
            </w:r>
          </w:p>
        </w:tc>
      </w:tr>
      <w:tr w:rsidR="00865DBB" w:rsidRPr="008B230A" w14:paraId="19C5C77C" w14:textId="77777777" w:rsidTr="00BD0E2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9F1C"/>
              <w:bottom w:val="single" w:sz="4" w:space="0" w:color="FF9F1C"/>
              <w:right w:val="nil"/>
            </w:tcBorders>
            <w:shd w:val="clear" w:color="auto" w:fill="FBE4D5" w:themeFill="accent2" w:themeFillTint="33"/>
          </w:tcPr>
          <w:p w14:paraId="1872B995" w14:textId="77777777"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Priority population</w:t>
            </w:r>
          </w:p>
        </w:tc>
        <w:tc>
          <w:tcPr>
            <w:tcW w:w="0" w:type="dxa"/>
            <w:tcBorders>
              <w:top w:val="single" w:sz="4" w:space="0" w:color="FF9F1C"/>
              <w:left w:val="nil"/>
              <w:bottom w:val="single" w:sz="4" w:space="0" w:color="FF9F1C"/>
              <w:right w:val="single" w:sz="18" w:space="0" w:color="FF9F1C"/>
            </w:tcBorders>
            <w:vAlign w:val="center"/>
          </w:tcPr>
          <w:p w14:paraId="044658B5" w14:textId="5F60A583" w:rsidR="00CA4411" w:rsidRPr="008B230A" w:rsidRDefault="009E5590" w:rsidP="00AB1BA4">
            <w:pPr>
              <w:pStyle w:val="BodyText"/>
              <w:spacing w:before="60" w:after="60"/>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Pr>
                <w:rFonts w:cs="Arial"/>
                <w:color w:val="000000" w:themeColor="text1"/>
                <w:kern w:val="0"/>
                <w:sz w:val="22"/>
                <w:szCs w:val="22"/>
                <w14:ligatures w14:val="none"/>
              </w:rPr>
              <w:t>Aboriginal and Torres Strait Islander</w:t>
            </w:r>
            <w:r w:rsidR="008F2F61" w:rsidRPr="008F2F61">
              <w:rPr>
                <w:rFonts w:cs="Arial"/>
                <w:color w:val="000000" w:themeColor="text1"/>
                <w:kern w:val="0"/>
                <w:sz w:val="22"/>
                <w:szCs w:val="22"/>
                <w14:ligatures w14:val="none"/>
              </w:rPr>
              <w:t xml:space="preserve"> </w:t>
            </w:r>
            <w:r w:rsidR="00CA4411" w:rsidRPr="008B230A">
              <w:rPr>
                <w:rFonts w:cs="Arial"/>
                <w:color w:val="000000" w:themeColor="text1"/>
                <w:kern w:val="0"/>
                <w:sz w:val="22"/>
                <w:szCs w:val="22"/>
                <w14:ligatures w14:val="none"/>
              </w:rPr>
              <w:t>people</w:t>
            </w:r>
          </w:p>
        </w:tc>
      </w:tr>
      <w:tr w:rsidR="00CA4411" w:rsidRPr="008B230A" w14:paraId="354BA24A" w14:textId="77777777" w:rsidTr="003B2996">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FF9F1C"/>
              <w:bottom w:val="single" w:sz="4" w:space="0" w:color="FF9F1C"/>
              <w:right w:val="single" w:sz="18" w:space="0" w:color="FF9F1C"/>
            </w:tcBorders>
          </w:tcPr>
          <w:p w14:paraId="5382AE92" w14:textId="40A96A8F" w:rsidR="00CA4411" w:rsidRPr="008B230A" w:rsidRDefault="00CA4411" w:rsidP="00AB1BA4">
            <w:pPr>
              <w:pStyle w:val="BodyText"/>
              <w:spacing w:before="60" w:after="60"/>
              <w:jc w:val="both"/>
              <w:rPr>
                <w:rFonts w:cs="Arial"/>
                <w:b w:val="0"/>
                <w:bCs w:val="0"/>
                <w:i/>
                <w:iCs/>
                <w:color w:val="000000" w:themeColor="text1"/>
                <w:kern w:val="0"/>
                <w:sz w:val="22"/>
                <w:szCs w:val="22"/>
                <w14:ligatures w14:val="none"/>
              </w:rPr>
            </w:pPr>
            <w:r w:rsidRPr="008B230A">
              <w:rPr>
                <w:rFonts w:cs="Arial"/>
                <w:b w:val="0"/>
                <w:bCs w:val="0"/>
                <w:i/>
                <w:iCs/>
                <w:color w:val="000000" w:themeColor="text1"/>
                <w:kern w:val="0"/>
                <w:sz w:val="22"/>
                <w:szCs w:val="22"/>
                <w14:ligatures w14:val="none"/>
              </w:rPr>
              <w:t>‘The Enhanced Syphilis Response hit the ground very quickly. People got training, supplies</w:t>
            </w:r>
            <w:r w:rsidR="004E0F97">
              <w:rPr>
                <w:rFonts w:cs="Arial"/>
                <w:b w:val="0"/>
                <w:bCs w:val="0"/>
                <w:i/>
                <w:iCs/>
                <w:color w:val="000000" w:themeColor="text1"/>
                <w:kern w:val="0"/>
                <w:sz w:val="22"/>
                <w:szCs w:val="22"/>
                <w14:ligatures w14:val="none"/>
              </w:rPr>
              <w:t>,</w:t>
            </w:r>
            <w:r w:rsidRPr="008B230A">
              <w:rPr>
                <w:rFonts w:cs="Arial"/>
                <w:b w:val="0"/>
                <w:bCs w:val="0"/>
                <w:i/>
                <w:iCs/>
                <w:color w:val="000000" w:themeColor="text1"/>
                <w:kern w:val="0"/>
                <w:sz w:val="22"/>
                <w:szCs w:val="22"/>
                <w14:ligatures w14:val="none"/>
              </w:rPr>
              <w:t xml:space="preserve"> and started testing within a few months of funding being released in the Kimberley. Services would have been struggling without it.’ </w:t>
            </w:r>
          </w:p>
          <w:p w14:paraId="7E89A19C" w14:textId="38EF5D0A"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 Katy Crawford, former Sexual Health Regional Facilitator, Kimberley Aboriginal Medical Services (KAMS)</w:t>
            </w:r>
          </w:p>
          <w:p w14:paraId="0109E66C" w14:textId="3DA54D03"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 xml:space="preserve">For more than 50 years, Aboriginal Community Controlled Health Organisations (ACCHOs) have worked on the frontline to improve access to primary healthcare and address health inequities faced by </w:t>
            </w:r>
            <w:r w:rsidRPr="008F2F61">
              <w:rPr>
                <w:rFonts w:cs="Arial"/>
                <w:b w:val="0"/>
                <w:bCs w:val="0"/>
                <w:color w:val="000000" w:themeColor="text1"/>
                <w:kern w:val="0"/>
                <w:sz w:val="22"/>
                <w:szCs w:val="22"/>
                <w14:ligatures w14:val="none"/>
              </w:rPr>
              <w:t xml:space="preserve">many </w:t>
            </w:r>
            <w:r w:rsidR="009E5590" w:rsidRPr="00EC7881">
              <w:rPr>
                <w:rFonts w:cs="Arial"/>
                <w:b w:val="0"/>
                <w:bCs w:val="0"/>
                <w:color w:val="000000" w:themeColor="text1"/>
                <w:sz w:val="22"/>
                <w:szCs w:val="22"/>
              </w:rPr>
              <w:t>Aboriginal and Torres Strait Islander</w:t>
            </w:r>
            <w:r w:rsidR="008F2F61" w:rsidRPr="00442D9E">
              <w:rPr>
                <w:rFonts w:cs="Arial"/>
                <w:color w:val="000000" w:themeColor="text1"/>
                <w:sz w:val="22"/>
                <w:szCs w:val="22"/>
              </w:rPr>
              <w:t xml:space="preserve"> </w:t>
            </w:r>
            <w:r w:rsidR="008F2F61">
              <w:rPr>
                <w:rFonts w:cs="Arial"/>
                <w:b w:val="0"/>
                <w:bCs w:val="0"/>
                <w:color w:val="000000" w:themeColor="text1"/>
                <w:kern w:val="0"/>
                <w:sz w:val="22"/>
                <w:szCs w:val="22"/>
                <w14:ligatures w14:val="none"/>
              </w:rPr>
              <w:t xml:space="preserve">people </w:t>
            </w:r>
            <w:r w:rsidRPr="008B230A">
              <w:rPr>
                <w:rFonts w:cs="Arial"/>
                <w:b w:val="0"/>
                <w:bCs w:val="0"/>
                <w:color w:val="000000" w:themeColor="text1"/>
                <w:kern w:val="0"/>
                <w:sz w:val="22"/>
                <w:szCs w:val="22"/>
                <w14:ligatures w14:val="none"/>
              </w:rPr>
              <w:t>across Australia.</w:t>
            </w:r>
          </w:p>
          <w:p w14:paraId="74E02927" w14:textId="4E3C6B0A"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 xml:space="preserve">Since 2018, KAMS has partnered with its ACCHO members to deliver the Enhanced Syphilis Response (ESR) across the Kimberley region of Western Australia. </w:t>
            </w:r>
            <w:r w:rsidRPr="00DE63A8">
              <w:rPr>
                <w:rFonts w:cs="Arial"/>
                <w:color w:val="000000" w:themeColor="text1"/>
                <w:sz w:val="22"/>
                <w:szCs w:val="22"/>
              </w:rPr>
              <w:t>As of 202</w:t>
            </w:r>
            <w:r w:rsidR="005C3262">
              <w:rPr>
                <w:rFonts w:cs="Arial"/>
                <w:color w:val="000000" w:themeColor="text1"/>
                <w:sz w:val="22"/>
                <w:szCs w:val="22"/>
              </w:rPr>
              <w:t>4</w:t>
            </w:r>
            <w:r w:rsidRPr="008B230A">
              <w:rPr>
                <w:rFonts w:cs="Arial"/>
                <w:b w:val="0"/>
                <w:bCs w:val="0"/>
                <w:color w:val="000000" w:themeColor="text1"/>
                <w:kern w:val="0"/>
                <w:sz w:val="22"/>
                <w:szCs w:val="22"/>
                <w14:ligatures w14:val="none"/>
              </w:rPr>
              <w:t xml:space="preserve">, over 100 ACCHO staff have been trained in point-of-care testing, and rates of testing and treatment for syphilis and other STI and </w:t>
            </w:r>
            <w:sdt>
              <w:sdtPr>
                <w:rPr>
                  <w:rFonts w:cs="Arial"/>
                  <w:color w:val="000000" w:themeColor="text1"/>
                  <w:sz w:val="22"/>
                  <w:szCs w:val="22"/>
                </w:rPr>
                <w:tag w:val="goog_rdk_11"/>
                <w:id w:val="1996218293"/>
              </w:sdtPr>
              <w:sdtEndPr/>
              <w:sdtContent/>
            </w:sdt>
            <w:r w:rsidRPr="008B230A">
              <w:rPr>
                <w:rFonts w:cs="Arial"/>
                <w:b w:val="0"/>
                <w:bCs w:val="0"/>
                <w:color w:val="000000" w:themeColor="text1"/>
                <w:kern w:val="0"/>
                <w:sz w:val="22"/>
                <w:szCs w:val="22"/>
                <w14:ligatures w14:val="none"/>
              </w:rPr>
              <w:t>BBVs have increased. KAMS has focused on reaching people between the ages of 15 and 29 who attend clinics infrequently.</w:t>
            </w:r>
          </w:p>
          <w:p w14:paraId="5B38131D" w14:textId="07E25EC2"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i/>
                <w:color w:val="000000" w:themeColor="text1"/>
                <w:kern w:val="0"/>
                <w:sz w:val="22"/>
                <w:szCs w:val="22"/>
                <w14:ligatures w14:val="none"/>
              </w:rPr>
              <w:t>‘Syphilis point-of-care testing has been very useful to health workers as on-the-spot testing can reduce time to treatment and difficulties with follow-up in highly transient populations. It also provides a visual aid to help people understand that they are infected even if they have no symptoms.’</w:t>
            </w:r>
            <w:r w:rsidRPr="008B230A">
              <w:rPr>
                <w:rFonts w:cs="Arial"/>
                <w:b w:val="0"/>
                <w:bCs w:val="0"/>
                <w:iCs/>
                <w:color w:val="000000" w:themeColor="text1"/>
                <w:kern w:val="0"/>
                <w:sz w:val="22"/>
                <w:szCs w:val="22"/>
                <w14:ligatures w14:val="none"/>
              </w:rPr>
              <w:t xml:space="preserve"> – Molly</w:t>
            </w:r>
            <w:r w:rsidRPr="008B230A">
              <w:rPr>
                <w:rFonts w:cs="Arial"/>
                <w:b w:val="0"/>
                <w:bCs w:val="0"/>
                <w:color w:val="000000" w:themeColor="text1"/>
                <w:kern w:val="0"/>
                <w:sz w:val="22"/>
                <w:szCs w:val="22"/>
                <w14:ligatures w14:val="none"/>
              </w:rPr>
              <w:t xml:space="preserve"> McCulloch, KAMS remote sexual health nurse </w:t>
            </w:r>
          </w:p>
          <w:p w14:paraId="114230C1" w14:textId="77777777"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Key factors attributed to the success of the response in the Kimberley region have been:</w:t>
            </w:r>
          </w:p>
          <w:p w14:paraId="33552133" w14:textId="77777777" w:rsidR="00CA4411" w:rsidRPr="008B230A" w:rsidRDefault="00CA4411">
            <w:pPr>
              <w:pStyle w:val="BodyText"/>
              <w:numPr>
                <w:ilvl w:val="0"/>
                <w:numId w:val="12"/>
              </w:numPr>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 xml:space="preserve">Increased funding to build up the sexual health workforce, including tailored training and mentorship for Aboriginal health practitioners, sexual health nurses and GPs </w:t>
            </w:r>
          </w:p>
          <w:p w14:paraId="63E76722" w14:textId="77777777" w:rsidR="00CA4411" w:rsidRPr="008B230A" w:rsidRDefault="00CA4411">
            <w:pPr>
              <w:pStyle w:val="BodyText"/>
              <w:numPr>
                <w:ilvl w:val="0"/>
                <w:numId w:val="12"/>
              </w:numPr>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Using culturally appropriate health communication and outreach strategies, including localised strength-based communication and outreach testing</w:t>
            </w:r>
          </w:p>
          <w:p w14:paraId="3F6C79BD" w14:textId="77777777" w:rsidR="00CA4411" w:rsidRPr="008B230A" w:rsidRDefault="00CA4411">
            <w:pPr>
              <w:pStyle w:val="BodyText"/>
              <w:numPr>
                <w:ilvl w:val="0"/>
                <w:numId w:val="12"/>
              </w:numPr>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Enabling each clinic to tailor the program to best serve its community</w:t>
            </w:r>
          </w:p>
          <w:p w14:paraId="3F872133" w14:textId="77777777" w:rsidR="00CA4411" w:rsidRPr="008B230A" w:rsidRDefault="00CA4411">
            <w:pPr>
              <w:pStyle w:val="BodyText"/>
              <w:numPr>
                <w:ilvl w:val="0"/>
                <w:numId w:val="12"/>
              </w:numPr>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 xml:space="preserve">Collaboration and building a strong network of people and partnerships across organisations </w:t>
            </w:r>
          </w:p>
          <w:p w14:paraId="3E117DB1" w14:textId="77777777" w:rsidR="00CA4411" w:rsidRPr="008B230A" w:rsidRDefault="00CA4411" w:rsidP="00AB1BA4">
            <w:pPr>
              <w:pStyle w:val="BodyText"/>
              <w:spacing w:before="60" w:after="60"/>
              <w:jc w:val="both"/>
              <w:rPr>
                <w:rFonts w:cs="Arial"/>
                <w:color w:val="000000" w:themeColor="text1"/>
                <w:kern w:val="0"/>
                <w:sz w:val="22"/>
                <w:szCs w:val="22"/>
                <w14:ligatures w14:val="none"/>
              </w:rPr>
            </w:pPr>
          </w:p>
          <w:p w14:paraId="400FB2D0" w14:textId="77777777" w:rsidR="00CA4411" w:rsidRPr="008B230A" w:rsidRDefault="00CA4411" w:rsidP="00AB1BA4">
            <w:pPr>
              <w:pStyle w:val="BodyText"/>
              <w:spacing w:before="60" w:after="60"/>
              <w:jc w:val="both"/>
              <w:rPr>
                <w:rFonts w:cs="Arial"/>
                <w:color w:val="000000" w:themeColor="text1"/>
                <w:kern w:val="0"/>
                <w:sz w:val="22"/>
                <w:szCs w:val="22"/>
                <w14:ligatures w14:val="none"/>
              </w:rPr>
            </w:pPr>
            <w:r w:rsidRPr="008B230A">
              <w:rPr>
                <w:rFonts w:cs="Arial"/>
                <w:b w:val="0"/>
                <w:bCs w:val="0"/>
                <w:color w:val="000000" w:themeColor="text1"/>
                <w:kern w:val="0"/>
                <w:sz w:val="22"/>
                <w:szCs w:val="22"/>
                <w14:ligatures w14:val="none"/>
              </w:rPr>
              <w:t>These factors align with the national findings and recommendations outlined in the 2021 ESR evaluation.</w:t>
            </w:r>
          </w:p>
        </w:tc>
      </w:tr>
      <w:tr w:rsidR="00865DBB" w:rsidRPr="008B230A" w14:paraId="266A4D21" w14:textId="77777777" w:rsidTr="00BD0E2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9F1C"/>
              <w:bottom w:val="single" w:sz="18" w:space="0" w:color="FF9F1C"/>
              <w:right w:val="nil"/>
            </w:tcBorders>
            <w:shd w:val="clear" w:color="auto" w:fill="FBE4D5" w:themeFill="accent2" w:themeFillTint="33"/>
          </w:tcPr>
          <w:p w14:paraId="319DCAB9" w14:textId="77777777" w:rsidR="00CA4411" w:rsidRPr="008B230A" w:rsidRDefault="00CA4411" w:rsidP="00AB1BA4">
            <w:pPr>
              <w:pStyle w:val="BodyText"/>
              <w:spacing w:before="60" w:after="60"/>
              <w:jc w:val="both"/>
              <w:rPr>
                <w:rFonts w:cs="Arial"/>
                <w:b w:val="0"/>
                <w:bCs w:val="0"/>
                <w:color w:val="000000" w:themeColor="text1"/>
                <w:kern w:val="0"/>
                <w:sz w:val="22"/>
                <w:szCs w:val="22"/>
                <w14:ligatures w14:val="none"/>
              </w:rPr>
            </w:pPr>
            <w:r w:rsidRPr="008B230A">
              <w:rPr>
                <w:rFonts w:cs="Arial"/>
                <w:b w:val="0"/>
                <w:bCs w:val="0"/>
                <w:color w:val="000000" w:themeColor="text1"/>
                <w:kern w:val="0"/>
                <w:sz w:val="22"/>
                <w:szCs w:val="22"/>
                <w14:ligatures w14:val="none"/>
              </w:rPr>
              <w:t xml:space="preserve">More information </w:t>
            </w:r>
          </w:p>
        </w:tc>
        <w:tc>
          <w:tcPr>
            <w:tcW w:w="0" w:type="dxa"/>
            <w:tcBorders>
              <w:top w:val="single" w:sz="4" w:space="0" w:color="FF9F1C"/>
              <w:left w:val="nil"/>
              <w:bottom w:val="single" w:sz="18" w:space="0" w:color="FF9F1C"/>
            </w:tcBorders>
          </w:tcPr>
          <w:p w14:paraId="0D76ECE2" w14:textId="77777777" w:rsidR="00CA4411" w:rsidRPr="008B230A" w:rsidRDefault="00853142" w:rsidP="00AB1BA4">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hyperlink r:id="rId106">
              <w:r w:rsidR="00CA4411" w:rsidRPr="008B230A">
                <w:rPr>
                  <w:rStyle w:val="Hyperlink"/>
                  <w:rFonts w:cs="Arial"/>
                  <w:sz w:val="22"/>
                  <w:szCs w:val="22"/>
                </w:rPr>
                <w:t>naccho.org.au</w:t>
              </w:r>
            </w:hyperlink>
          </w:p>
        </w:tc>
      </w:tr>
    </w:tbl>
    <w:p w14:paraId="73DBE4C0" w14:textId="77777777" w:rsidR="0085184A" w:rsidRDefault="0085184A" w:rsidP="00BE6E28">
      <w:pPr>
        <w:pStyle w:val="Heading2"/>
        <w:rPr>
          <w:rFonts w:ascii="Arial" w:hAnsi="Arial" w:cs="Arial"/>
          <w:sz w:val="28"/>
          <w:szCs w:val="28"/>
        </w:rPr>
      </w:pPr>
      <w:bookmarkStart w:id="151" w:name="_Toc163737201"/>
    </w:p>
    <w:p w14:paraId="148DDA4F" w14:textId="77777777" w:rsidR="0085184A" w:rsidRDefault="0085184A">
      <w:pPr>
        <w:rPr>
          <w:rFonts w:eastAsiaTheme="majorEastAsia" w:cs="Arial"/>
          <w:b/>
          <w:bCs/>
          <w:color w:val="000000" w:themeColor="text1"/>
          <w:sz w:val="28"/>
          <w:szCs w:val="28"/>
        </w:rPr>
      </w:pPr>
      <w:r>
        <w:rPr>
          <w:rFonts w:cs="Arial"/>
          <w:sz w:val="28"/>
          <w:szCs w:val="28"/>
        </w:rPr>
        <w:br w:type="page"/>
      </w:r>
    </w:p>
    <w:p w14:paraId="0F473DBC" w14:textId="703F5579" w:rsidR="00020A2C" w:rsidRPr="0085184A" w:rsidRDefault="00420035" w:rsidP="0085184A">
      <w:pPr>
        <w:pStyle w:val="Heading2"/>
        <w:rPr>
          <w:rFonts w:ascii="Arial" w:hAnsi="Arial" w:cs="Arial"/>
          <w:b w:val="0"/>
        </w:rPr>
      </w:pPr>
      <w:r>
        <w:rPr>
          <w:rFonts w:ascii="Arial" w:hAnsi="Arial" w:cs="Arial"/>
          <w:sz w:val="28"/>
          <w:szCs w:val="28"/>
        </w:rPr>
        <w:lastRenderedPageBreak/>
        <w:t>Education and awareness</w:t>
      </w:r>
      <w:bookmarkEnd w:id="151"/>
    </w:p>
    <w:tbl>
      <w:tblPr>
        <w:tblStyle w:val="GridTable1Light"/>
        <w:tblW w:w="9843" w:type="dxa"/>
        <w:tblBorders>
          <w:top w:val="single" w:sz="18" w:space="0" w:color="FF9F1C"/>
          <w:left w:val="single" w:sz="18" w:space="0" w:color="FF9F1C"/>
          <w:bottom w:val="single" w:sz="18" w:space="0" w:color="FF9F1C"/>
          <w:right w:val="single" w:sz="18" w:space="0" w:color="FF9F1C"/>
          <w:insideH w:val="single" w:sz="8" w:space="0" w:color="FF9F1C"/>
        </w:tblBorders>
        <w:tblCellMar>
          <w:left w:w="142" w:type="dxa"/>
          <w:right w:w="142" w:type="dxa"/>
        </w:tblCellMar>
        <w:tblLook w:val="04A0" w:firstRow="1" w:lastRow="0" w:firstColumn="1" w:lastColumn="0" w:noHBand="0" w:noVBand="1"/>
      </w:tblPr>
      <w:tblGrid>
        <w:gridCol w:w="3824"/>
        <w:gridCol w:w="6019"/>
      </w:tblGrid>
      <w:tr w:rsidR="00BE6E28" w:rsidRPr="00CA4411" w14:paraId="44A25B14" w14:textId="77777777" w:rsidTr="003B2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7CAAC" w:themeFill="accent2" w:themeFillTint="66"/>
          </w:tcPr>
          <w:p w14:paraId="7C28CF37" w14:textId="34B487F1" w:rsidR="00BE6E28" w:rsidRPr="006362EB" w:rsidRDefault="008B43F1" w:rsidP="00C222C3">
            <w:pPr>
              <w:pStyle w:val="Heading3"/>
              <w:numPr>
                <w:ilvl w:val="0"/>
                <w:numId w:val="0"/>
              </w:numPr>
              <w:ind w:left="720" w:hanging="720"/>
              <w:rPr>
                <w:rFonts w:cs="Arial"/>
                <w:b/>
              </w:rPr>
            </w:pPr>
            <w:bookmarkStart w:id="152" w:name="_Case_study:_Enabling"/>
            <w:bookmarkStart w:id="153" w:name="_Toc148613978"/>
            <w:bookmarkStart w:id="154" w:name="_Toc150160979"/>
            <w:bookmarkEnd w:id="152"/>
            <w:r>
              <w:rPr>
                <w:rFonts w:ascii="ZWAdobeF" w:hAnsi="ZWAdobeF" w:cs="ZWAdobeF"/>
                <w:color w:val="auto"/>
                <w:sz w:val="2"/>
                <w:szCs w:val="2"/>
              </w:rPr>
              <w:t>2B</w:t>
            </w:r>
            <w:r w:rsidR="00BE6E28" w:rsidRPr="00C222C3">
              <w:rPr>
                <w:rFonts w:ascii="Arial" w:hAnsi="Arial" w:cs="Arial"/>
              </w:rPr>
              <w:t>Case study: Enabling the next generation to own their sexual health</w:t>
            </w:r>
            <w:bookmarkEnd w:id="153"/>
            <w:bookmarkEnd w:id="154"/>
          </w:p>
        </w:tc>
      </w:tr>
      <w:tr w:rsidR="00CA4411" w:rsidRPr="00CA4411" w14:paraId="4692BDB4" w14:textId="77777777" w:rsidTr="003B2996">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FF9F1C"/>
              <w:bottom w:val="single" w:sz="8" w:space="0" w:color="FF9F1C"/>
              <w:right w:val="nil"/>
            </w:tcBorders>
            <w:shd w:val="clear" w:color="auto" w:fill="FBE4D5" w:themeFill="accent2" w:themeFillTint="33"/>
          </w:tcPr>
          <w:p w14:paraId="238CEFE6"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Location</w:t>
            </w:r>
          </w:p>
        </w:tc>
        <w:tc>
          <w:tcPr>
            <w:tcW w:w="0" w:type="dxa"/>
            <w:tcBorders>
              <w:left w:val="nil"/>
            </w:tcBorders>
          </w:tcPr>
          <w:p w14:paraId="70DC1807" w14:textId="77777777" w:rsidR="00CA4411" w:rsidRPr="00CA4411" w:rsidRDefault="00CA4411"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Western Australia</w:t>
            </w:r>
          </w:p>
        </w:tc>
      </w:tr>
      <w:tr w:rsidR="00CA4411" w:rsidRPr="00CA4411" w14:paraId="366E422A" w14:textId="77777777" w:rsidTr="003B2996">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FF9F1C"/>
              <w:bottom w:val="single" w:sz="8" w:space="0" w:color="FF9F1C"/>
              <w:right w:val="nil"/>
            </w:tcBorders>
            <w:shd w:val="clear" w:color="auto" w:fill="FBE4D5" w:themeFill="accent2" w:themeFillTint="33"/>
          </w:tcPr>
          <w:p w14:paraId="0684714B"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Organisation</w:t>
            </w:r>
          </w:p>
        </w:tc>
        <w:tc>
          <w:tcPr>
            <w:tcW w:w="0" w:type="dxa"/>
            <w:tcBorders>
              <w:left w:val="nil"/>
            </w:tcBorders>
          </w:tcPr>
          <w:p w14:paraId="21FB07FD" w14:textId="77777777" w:rsidR="00CA4411" w:rsidRPr="00CA4411" w:rsidRDefault="00CA4411"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Departments of Education and Health</w:t>
            </w:r>
          </w:p>
        </w:tc>
      </w:tr>
      <w:tr w:rsidR="00CA4411" w:rsidRPr="00CA4411" w14:paraId="50848375" w14:textId="77777777" w:rsidTr="003B2996">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FF9F1C"/>
              <w:bottom w:val="single" w:sz="8" w:space="0" w:color="FF9F1C"/>
              <w:right w:val="nil"/>
            </w:tcBorders>
            <w:shd w:val="clear" w:color="auto" w:fill="FBE4D5" w:themeFill="accent2" w:themeFillTint="33"/>
          </w:tcPr>
          <w:p w14:paraId="3EED0326"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Strategy outcomes</w:t>
            </w:r>
          </w:p>
        </w:tc>
        <w:tc>
          <w:tcPr>
            <w:tcW w:w="0" w:type="dxa"/>
            <w:tcBorders>
              <w:left w:val="nil"/>
            </w:tcBorders>
          </w:tcPr>
          <w:p w14:paraId="1634982A" w14:textId="371D52D9" w:rsidR="008A151D" w:rsidRPr="003B2996" w:rsidRDefault="00CA4411">
            <w:pPr>
              <w:pStyle w:val="BodyText"/>
              <w:numPr>
                <w:ilvl w:val="0"/>
                <w:numId w:val="11"/>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w:t>
            </w:r>
            <w:r w:rsidR="00BE6B47" w:rsidRPr="003B2996">
              <w:rPr>
                <w:rFonts w:cs="Arial"/>
                <w:color w:val="000000" w:themeColor="text1"/>
                <w:sz w:val="22"/>
                <w:szCs w:val="22"/>
              </w:rPr>
              <w:t>3</w:t>
            </w:r>
            <w:r w:rsidRPr="003B2996">
              <w:rPr>
                <w:rFonts w:cs="Arial"/>
                <w:color w:val="000000" w:themeColor="text1"/>
                <w:sz w:val="22"/>
                <w:szCs w:val="22"/>
              </w:rPr>
              <w:t xml:space="preserve">: Increase awareness and understanding of STI as part of sexual </w:t>
            </w:r>
            <w:r w:rsidR="00BE6B47" w:rsidRPr="003B2996">
              <w:rPr>
                <w:rFonts w:cs="Arial"/>
                <w:color w:val="000000" w:themeColor="text1"/>
                <w:sz w:val="22"/>
                <w:szCs w:val="22"/>
              </w:rPr>
              <w:t xml:space="preserve">and reproductive </w:t>
            </w:r>
            <w:r w:rsidRPr="003B2996">
              <w:rPr>
                <w:rFonts w:cs="Arial"/>
                <w:color w:val="000000" w:themeColor="text1"/>
                <w:sz w:val="22"/>
                <w:szCs w:val="22"/>
              </w:rPr>
              <w:t>health for all in Australia</w:t>
            </w:r>
            <w:r w:rsidR="003A56A9" w:rsidRPr="003B2996">
              <w:rPr>
                <w:rFonts w:cs="Arial"/>
                <w:color w:val="000000" w:themeColor="text1"/>
                <w:sz w:val="22"/>
                <w:szCs w:val="22"/>
              </w:rPr>
              <w:t xml:space="preserve"> </w:t>
            </w:r>
          </w:p>
          <w:p w14:paraId="52062349" w14:textId="7D254B2B" w:rsidR="00CA4411" w:rsidRPr="00CA4411" w:rsidRDefault="00CA4411">
            <w:pPr>
              <w:pStyle w:val="BodyText"/>
              <w:numPr>
                <w:ilvl w:val="0"/>
                <w:numId w:val="11"/>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Goal 4: Eliminate the negative impact of stigma, discrimination, and legal and human rights issues on people’s health.</w:t>
            </w:r>
          </w:p>
        </w:tc>
      </w:tr>
      <w:tr w:rsidR="00CA4411" w:rsidRPr="00CA4411" w14:paraId="787117CC" w14:textId="77777777" w:rsidTr="003B2996">
        <w:tc>
          <w:tcPr>
            <w:cnfStyle w:val="001000000000" w:firstRow="0" w:lastRow="0" w:firstColumn="1" w:lastColumn="0" w:oddVBand="0" w:evenVBand="0" w:oddHBand="0" w:evenHBand="0" w:firstRowFirstColumn="0" w:firstRowLastColumn="0" w:lastRowFirstColumn="0" w:lastRowLastColumn="0"/>
            <w:tcW w:w="0" w:type="dxa"/>
            <w:gridSpan w:val="2"/>
          </w:tcPr>
          <w:p w14:paraId="06B3F47A" w14:textId="77777777" w:rsidR="00CA4411" w:rsidRPr="00CA4411" w:rsidRDefault="00CA4411" w:rsidP="00671AC1">
            <w:pPr>
              <w:pStyle w:val="BodyText"/>
              <w:spacing w:before="120"/>
              <w:jc w:val="both"/>
              <w:rPr>
                <w:rFonts w:cs="Arial"/>
                <w:b w:val="0"/>
                <w:bCs w:val="0"/>
                <w:i/>
                <w:iCs/>
                <w:color w:val="000000" w:themeColor="text1"/>
                <w:kern w:val="0"/>
                <w:sz w:val="22"/>
                <w:szCs w:val="22"/>
                <w14:ligatures w14:val="none"/>
              </w:rPr>
            </w:pPr>
            <w:r w:rsidRPr="00CA4411">
              <w:rPr>
                <w:rFonts w:cs="Arial"/>
                <w:b w:val="0"/>
                <w:bCs w:val="0"/>
                <w:i/>
                <w:iCs/>
                <w:color w:val="000000" w:themeColor="text1"/>
                <w:kern w:val="0"/>
                <w:sz w:val="22"/>
                <w:szCs w:val="22"/>
                <w14:ligatures w14:val="none"/>
              </w:rPr>
              <w:t xml:space="preserve">‘Best practice STI and BBV prevention approaches need to start by educating young people before they begin sexual relationships so that they are empowered to make informed decisions. STI education cannot happen in isolation, it must be taught in the context of broader sexuality education.’ </w:t>
            </w:r>
          </w:p>
          <w:p w14:paraId="1A871D79" w14:textId="03CDFC08" w:rsidR="001275E3" w:rsidRDefault="00CA4411" w:rsidP="00671AC1">
            <w:pPr>
              <w:pStyle w:val="BodyText"/>
              <w:spacing w:before="120"/>
              <w:jc w:val="both"/>
              <w:rPr>
                <w:rFonts w:cs="Arial"/>
                <w:color w:val="000000" w:themeColor="text1"/>
                <w:kern w:val="0"/>
                <w:sz w:val="22"/>
                <w:szCs w:val="22"/>
                <w14:ligatures w14:val="none"/>
              </w:rPr>
            </w:pPr>
            <w:r w:rsidRPr="00CA4411">
              <w:rPr>
                <w:rFonts w:cs="Arial"/>
                <w:b w:val="0"/>
                <w:bCs w:val="0"/>
                <w:color w:val="000000" w:themeColor="text1"/>
                <w:kern w:val="0"/>
                <w:sz w:val="22"/>
                <w:szCs w:val="22"/>
                <w14:ligatures w14:val="none"/>
              </w:rPr>
              <w:t>– Lisa Bastian, Manager of Sexual Health and Blood-borne Virus Program (SHBBVP), Communicable Disease Control Directorate, Western Australian Department of Health (WA DoH)</w:t>
            </w:r>
            <w:r w:rsidRPr="00CA4411">
              <w:rPr>
                <w:rFonts w:cs="Arial"/>
                <w:b w:val="0"/>
                <w:bCs w:val="0"/>
                <w:color w:val="000000" w:themeColor="text1"/>
                <w:kern w:val="0"/>
                <w:sz w:val="22"/>
                <w:szCs w:val="22"/>
                <w14:ligatures w14:val="none"/>
              </w:rPr>
              <w:br/>
            </w:r>
          </w:p>
          <w:p w14:paraId="39006813" w14:textId="3DB9C353"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The WA DoH recognises the vital role that comprehensive relationships and sexuality education (RSE) plays in preventing STI and BBV and reducing public health impacts.</w:t>
            </w:r>
          </w:p>
          <w:p w14:paraId="5FA57D23" w14:textId="3577D782"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For more than two decades, the WA DoH’s </w:t>
            </w:r>
            <w:r w:rsidRPr="00CA4411">
              <w:rPr>
                <w:rFonts w:cs="Arial"/>
                <w:b w:val="0"/>
                <w:bCs w:val="0"/>
                <w:iCs/>
                <w:color w:val="000000" w:themeColor="text1"/>
                <w:kern w:val="0"/>
                <w:sz w:val="22"/>
                <w:szCs w:val="22"/>
                <w14:ligatures w14:val="none"/>
              </w:rPr>
              <w:t>Growing and Developing Healthy Relationships</w:t>
            </w:r>
            <w:r w:rsidRPr="00CA4411">
              <w:rPr>
                <w:rFonts w:cs="Arial"/>
                <w:b w:val="0"/>
                <w:bCs w:val="0"/>
                <w:color w:val="000000" w:themeColor="text1"/>
                <w:kern w:val="0"/>
                <w:sz w:val="22"/>
                <w:szCs w:val="22"/>
                <w14:ligatures w14:val="none"/>
              </w:rPr>
              <w:t xml:space="preserve"> resource and teacher training program has been available for free to all WA schools. Its website provides best practice curriculum support materials to help deliver comprehensive RSE in WA schools, receiving more than 210,355 unique visits (</w:t>
            </w:r>
            <w:r w:rsidRPr="00DE63A8">
              <w:rPr>
                <w:rFonts w:cs="Arial"/>
                <w:color w:val="000000" w:themeColor="text1"/>
                <w:sz w:val="22"/>
                <w:szCs w:val="22"/>
              </w:rPr>
              <w:t>2021-2022</w:t>
            </w:r>
            <w:r w:rsidRPr="00CA4411">
              <w:rPr>
                <w:rFonts w:cs="Arial"/>
                <w:b w:val="0"/>
                <w:bCs w:val="0"/>
                <w:color w:val="000000" w:themeColor="text1"/>
                <w:kern w:val="0"/>
                <w:sz w:val="22"/>
                <w:szCs w:val="22"/>
                <w14:ligatures w14:val="none"/>
              </w:rPr>
              <w:t xml:space="preserve">). </w:t>
            </w:r>
          </w:p>
          <w:p w14:paraId="6ABE988E" w14:textId="77ED969C" w:rsidR="00CA4411" w:rsidRPr="00CA4411" w:rsidRDefault="00CA4411" w:rsidP="00671AC1">
            <w:pPr>
              <w:pStyle w:val="BodyText"/>
              <w:spacing w:before="120"/>
              <w:jc w:val="both"/>
              <w:rPr>
                <w:rFonts w:cs="Arial"/>
                <w:b w:val="0"/>
                <w:bCs w:val="0"/>
                <w:iCs/>
                <w:color w:val="000000" w:themeColor="text1"/>
                <w:kern w:val="0"/>
                <w:sz w:val="22"/>
                <w:szCs w:val="22"/>
                <w14:ligatures w14:val="none"/>
              </w:rPr>
            </w:pPr>
            <w:r w:rsidRPr="00CA4411">
              <w:rPr>
                <w:rFonts w:cs="Arial"/>
                <w:b w:val="0"/>
                <w:bCs w:val="0"/>
                <w:color w:val="000000" w:themeColor="text1"/>
                <w:kern w:val="0"/>
                <w:sz w:val="22"/>
                <w:szCs w:val="22"/>
                <w14:ligatures w14:val="none"/>
              </w:rPr>
              <w:t>In a media-saturated world, reliable and accurate sexual health information has never been more vital. Based on the guiding principle that RSE is the shared responsibility of parents, schools</w:t>
            </w:r>
            <w:r w:rsidR="00E053BB">
              <w:rPr>
                <w:rFonts w:cs="Arial"/>
                <w:b w:val="0"/>
                <w:bCs w:val="0"/>
                <w:color w:val="000000" w:themeColor="text1"/>
                <w:kern w:val="0"/>
                <w:sz w:val="22"/>
                <w:szCs w:val="22"/>
                <w14:ligatures w14:val="none"/>
              </w:rPr>
              <w:t>,</w:t>
            </w:r>
            <w:r w:rsidRPr="00CA4411">
              <w:rPr>
                <w:rFonts w:cs="Arial"/>
                <w:b w:val="0"/>
                <w:bCs w:val="0"/>
                <w:color w:val="000000" w:themeColor="text1"/>
                <w:kern w:val="0"/>
                <w:sz w:val="22"/>
                <w:szCs w:val="22"/>
                <w14:ligatures w14:val="none"/>
              </w:rPr>
              <w:t xml:space="preserve"> and the community, the WA DoH also offers free resources for parents and young people. </w:t>
            </w:r>
            <w:r w:rsidRPr="00CA4411">
              <w:rPr>
                <w:rFonts w:cs="Arial"/>
                <w:b w:val="0"/>
                <w:bCs w:val="0"/>
                <w:iCs/>
                <w:color w:val="000000" w:themeColor="text1"/>
                <w:kern w:val="0"/>
                <w:sz w:val="22"/>
                <w:szCs w:val="22"/>
                <w14:ligatures w14:val="none"/>
              </w:rPr>
              <w:t xml:space="preserve">Talk soon. Talk often </w:t>
            </w:r>
            <w:r w:rsidRPr="00CA4411">
              <w:rPr>
                <w:rFonts w:cs="Arial"/>
                <w:b w:val="0"/>
                <w:bCs w:val="0"/>
                <w:color w:val="000000" w:themeColor="text1"/>
                <w:kern w:val="0"/>
                <w:sz w:val="22"/>
                <w:szCs w:val="22"/>
                <w14:ligatures w14:val="none"/>
              </w:rPr>
              <w:t xml:space="preserve">(TSTO) is a hardcopy guide and interactive website developed to support parents in having regular open conversations with their children about age- and stage-appropriate RSE topics. </w:t>
            </w:r>
            <w:r w:rsidRPr="00CA4411">
              <w:rPr>
                <w:rFonts w:cs="Arial"/>
                <w:b w:val="0"/>
                <w:bCs w:val="0"/>
                <w:iCs/>
                <w:color w:val="000000" w:themeColor="text1"/>
                <w:kern w:val="0"/>
                <w:sz w:val="22"/>
                <w:szCs w:val="22"/>
                <w14:ligatures w14:val="none"/>
              </w:rPr>
              <w:t>Yarning Quiet Ways,</w:t>
            </w:r>
            <w:r w:rsidRPr="00CA4411">
              <w:rPr>
                <w:rFonts w:cs="Arial"/>
                <w:b w:val="0"/>
                <w:bCs w:val="0"/>
                <w:color w:val="000000" w:themeColor="text1"/>
                <w:kern w:val="0"/>
                <w:sz w:val="22"/>
                <w:szCs w:val="22"/>
                <w14:ligatures w14:val="none"/>
              </w:rPr>
              <w:t xml:space="preserve"> an adapted version of TSTO, is a culturally appropriate resource for Aboriginal parents and their children. For young people, WA DoH offers guides on topics such as puberty, relationships, sexting, consent</w:t>
            </w:r>
            <w:r w:rsidR="005635F3">
              <w:rPr>
                <w:rFonts w:cs="Arial"/>
                <w:b w:val="0"/>
                <w:bCs w:val="0"/>
                <w:color w:val="000000" w:themeColor="text1"/>
                <w:kern w:val="0"/>
                <w:sz w:val="22"/>
                <w:szCs w:val="22"/>
                <w14:ligatures w14:val="none"/>
              </w:rPr>
              <w:t>,</w:t>
            </w:r>
            <w:r w:rsidRPr="00CA4411">
              <w:rPr>
                <w:rFonts w:cs="Arial"/>
                <w:b w:val="0"/>
                <w:bCs w:val="0"/>
                <w:color w:val="000000" w:themeColor="text1"/>
                <w:kern w:val="0"/>
                <w:sz w:val="22"/>
                <w:szCs w:val="22"/>
                <w14:ligatures w14:val="none"/>
              </w:rPr>
              <w:t xml:space="preserve"> and condoms. It hosts</w:t>
            </w:r>
            <w:r w:rsidRPr="00CA4411">
              <w:rPr>
                <w:rFonts w:cs="Arial"/>
                <w:b w:val="0"/>
                <w:bCs w:val="0"/>
                <w:i/>
                <w:color w:val="000000" w:themeColor="text1"/>
                <w:kern w:val="0"/>
                <w:sz w:val="22"/>
                <w:szCs w:val="22"/>
                <w14:ligatures w14:val="none"/>
              </w:rPr>
              <w:t xml:space="preserve"> </w:t>
            </w:r>
            <w:r w:rsidRPr="00CA4411">
              <w:rPr>
                <w:rFonts w:cs="Arial"/>
                <w:b w:val="0"/>
                <w:bCs w:val="0"/>
                <w:iCs/>
                <w:color w:val="000000" w:themeColor="text1"/>
                <w:kern w:val="0"/>
                <w:sz w:val="22"/>
                <w:szCs w:val="22"/>
                <w14:ligatures w14:val="none"/>
              </w:rPr>
              <w:t xml:space="preserve">Get the Facts, a website that provides sexual health information and free online STI testing. It attracted more than 752,000 visitors in </w:t>
            </w:r>
            <w:r w:rsidRPr="00DE63A8">
              <w:rPr>
                <w:rFonts w:cs="Arial"/>
                <w:iCs/>
                <w:color w:val="000000" w:themeColor="text1"/>
                <w:sz w:val="22"/>
                <w:szCs w:val="22"/>
              </w:rPr>
              <w:t>2021-2022</w:t>
            </w:r>
            <w:r w:rsidRPr="00CA4411">
              <w:rPr>
                <w:rFonts w:cs="Arial"/>
                <w:b w:val="0"/>
                <w:bCs w:val="0"/>
                <w:iCs/>
                <w:color w:val="000000" w:themeColor="text1"/>
                <w:kern w:val="0"/>
                <w:sz w:val="22"/>
                <w:szCs w:val="22"/>
                <w14:ligatures w14:val="none"/>
              </w:rPr>
              <w:t>.</w:t>
            </w:r>
          </w:p>
          <w:p w14:paraId="2CEF6E8E" w14:textId="190A269B" w:rsidR="00CA4411" w:rsidRPr="00CA4411" w:rsidRDefault="00CA4411" w:rsidP="00671AC1">
            <w:pPr>
              <w:pStyle w:val="BodyText"/>
              <w:spacing w:before="120"/>
              <w:jc w:val="both"/>
              <w:rPr>
                <w:rFonts w:cs="Arial"/>
                <w:color w:val="000000" w:themeColor="text1"/>
                <w:kern w:val="0"/>
                <w:sz w:val="22"/>
                <w:szCs w:val="22"/>
                <w14:ligatures w14:val="none"/>
              </w:rPr>
            </w:pPr>
            <w:r w:rsidRPr="00CA4411">
              <w:rPr>
                <w:rFonts w:cs="Arial"/>
                <w:b w:val="0"/>
                <w:bCs w:val="0"/>
                <w:color w:val="000000" w:themeColor="text1"/>
                <w:kern w:val="0"/>
                <w:sz w:val="22"/>
                <w:szCs w:val="22"/>
                <w14:ligatures w14:val="none"/>
              </w:rPr>
              <w:t>‘In recent years, there has been significant public interest and a call to action to address concerns relating to many elements of RSE: consent education, intimate partner violence, respectful relationships, sexual violence and access to abortion,’ Lisa Bastian said. ‘Moving forward, a united national approach is required to best utilise resources and ensure comprehensive, high-quality equitable access to prevention and education programs across Australia.’</w:t>
            </w:r>
          </w:p>
        </w:tc>
      </w:tr>
    </w:tbl>
    <w:p w14:paraId="25AAE1A0" w14:textId="7AFCCBBD" w:rsidR="00B55BBC" w:rsidRDefault="00B55BBC" w:rsidP="003B2996">
      <w:pPr>
        <w:pStyle w:val="Body"/>
      </w:pPr>
    </w:p>
    <w:p w14:paraId="198F7009" w14:textId="505197A9" w:rsidR="006669CB" w:rsidRDefault="006669CB">
      <w:r>
        <w:br w:type="page"/>
      </w:r>
    </w:p>
    <w:tbl>
      <w:tblPr>
        <w:tblStyle w:val="GridTable1Light"/>
        <w:tblW w:w="9843" w:type="dxa"/>
        <w:tblBorders>
          <w:top w:val="single" w:sz="18" w:space="0" w:color="FF9F1C"/>
          <w:left w:val="single" w:sz="18" w:space="0" w:color="FF9F1C"/>
          <w:bottom w:val="single" w:sz="18" w:space="0" w:color="FF9F1C"/>
          <w:right w:val="single" w:sz="18" w:space="0" w:color="FF9F1C"/>
          <w:insideH w:val="single" w:sz="8" w:space="0" w:color="FF9F1C"/>
          <w:insideV w:val="none" w:sz="0" w:space="0" w:color="auto"/>
        </w:tblBorders>
        <w:tblCellMar>
          <w:left w:w="142" w:type="dxa"/>
          <w:right w:w="142" w:type="dxa"/>
        </w:tblCellMar>
        <w:tblLook w:val="04A0" w:firstRow="1" w:lastRow="0" w:firstColumn="1" w:lastColumn="0" w:noHBand="0" w:noVBand="1"/>
      </w:tblPr>
      <w:tblGrid>
        <w:gridCol w:w="3642"/>
        <w:gridCol w:w="6201"/>
      </w:tblGrid>
      <w:tr w:rsidR="00BE6E28" w:rsidRPr="006606A1" w14:paraId="18F78A36" w14:textId="77777777" w:rsidTr="004E7A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2"/>
            <w:shd w:val="clear" w:color="auto" w:fill="F7CAAC" w:themeFill="accent2" w:themeFillTint="66"/>
          </w:tcPr>
          <w:p w14:paraId="27D7B2EA" w14:textId="72CCC528" w:rsidR="00BE6E28" w:rsidRPr="006362EB" w:rsidRDefault="000A028B" w:rsidP="00C222C3">
            <w:pPr>
              <w:pStyle w:val="Heading3"/>
              <w:numPr>
                <w:ilvl w:val="0"/>
                <w:numId w:val="0"/>
              </w:numPr>
              <w:ind w:left="720" w:hanging="720"/>
              <w:rPr>
                <w:rFonts w:cs="Arial"/>
                <w:b/>
                <w:bCs/>
              </w:rPr>
            </w:pPr>
            <w:bookmarkStart w:id="155" w:name="_Case_study:_Putting"/>
            <w:bookmarkEnd w:id="155"/>
            <w:r w:rsidRPr="00C222C3">
              <w:rPr>
                <w:rFonts w:ascii="Arial" w:hAnsi="Arial" w:cs="Arial"/>
              </w:rPr>
              <w:lastRenderedPageBreak/>
              <w:br w:type="page"/>
            </w:r>
            <w:bookmarkStart w:id="156" w:name="_Toc148613979"/>
            <w:bookmarkStart w:id="157" w:name="_Toc150160980"/>
            <w:r w:rsidR="008B43F1">
              <w:rPr>
                <w:rFonts w:ascii="ZWAdobeF" w:hAnsi="ZWAdobeF" w:cs="ZWAdobeF"/>
                <w:color w:val="auto"/>
                <w:sz w:val="2"/>
                <w:szCs w:val="2"/>
              </w:rPr>
              <w:t>3B</w:t>
            </w:r>
            <w:r w:rsidR="00BE6E28" w:rsidRPr="00C222C3">
              <w:rPr>
                <w:rFonts w:ascii="Arial" w:hAnsi="Arial" w:cs="Arial"/>
              </w:rPr>
              <w:t>Case study: Putting people first: Ensuring client-focused service delivery</w:t>
            </w:r>
            <w:bookmarkEnd w:id="156"/>
            <w:bookmarkEnd w:id="157"/>
            <w:r w:rsidR="00BE6E28" w:rsidRPr="00C222C3">
              <w:rPr>
                <w:rFonts w:ascii="Arial" w:hAnsi="Arial" w:cs="Arial"/>
              </w:rPr>
              <w:t> </w:t>
            </w:r>
          </w:p>
        </w:tc>
      </w:tr>
      <w:tr w:rsidR="00CA4411" w:rsidRPr="006606A1" w14:paraId="45D32F1F" w14:textId="77777777" w:rsidTr="004E7A51">
        <w:tc>
          <w:tcPr>
            <w:cnfStyle w:val="001000000000" w:firstRow="0" w:lastRow="0" w:firstColumn="1" w:lastColumn="0" w:oddVBand="0" w:evenVBand="0" w:oddHBand="0" w:evenHBand="0" w:firstRowFirstColumn="0" w:firstRowLastColumn="0" w:lastRowFirstColumn="0" w:lastRowLastColumn="0"/>
            <w:tcW w:w="3642" w:type="dxa"/>
            <w:shd w:val="clear" w:color="auto" w:fill="FBE4D5" w:themeFill="accent2" w:themeFillTint="33"/>
          </w:tcPr>
          <w:p w14:paraId="6B7DECDE"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Location</w:t>
            </w:r>
          </w:p>
        </w:tc>
        <w:tc>
          <w:tcPr>
            <w:tcW w:w="6201" w:type="dxa"/>
          </w:tcPr>
          <w:p w14:paraId="58F4E3C7" w14:textId="77777777" w:rsidR="00CA4411" w:rsidRPr="006606A1" w:rsidRDefault="00CA4411" w:rsidP="006606A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b/>
                <w:bCs/>
                <w:color w:val="000000" w:themeColor="text1"/>
                <w:kern w:val="0"/>
                <w:sz w:val="22"/>
                <w:szCs w:val="22"/>
                <w14:ligatures w14:val="none"/>
              </w:rPr>
            </w:pPr>
            <w:r w:rsidRPr="006606A1">
              <w:rPr>
                <w:rFonts w:cs="Arial"/>
                <w:color w:val="000000" w:themeColor="text1"/>
                <w:kern w:val="0"/>
                <w:sz w:val="22"/>
                <w:szCs w:val="22"/>
                <w14:ligatures w14:val="none"/>
              </w:rPr>
              <w:t xml:space="preserve">Sydney, New South Wales </w:t>
            </w:r>
          </w:p>
        </w:tc>
      </w:tr>
      <w:tr w:rsidR="00CA4411" w:rsidRPr="006606A1" w14:paraId="43779BB5" w14:textId="77777777" w:rsidTr="004E7A51">
        <w:tc>
          <w:tcPr>
            <w:cnfStyle w:val="001000000000" w:firstRow="0" w:lastRow="0" w:firstColumn="1" w:lastColumn="0" w:oddVBand="0" w:evenVBand="0" w:oddHBand="0" w:evenHBand="0" w:firstRowFirstColumn="0" w:firstRowLastColumn="0" w:lastRowFirstColumn="0" w:lastRowLastColumn="0"/>
            <w:tcW w:w="3642" w:type="dxa"/>
            <w:shd w:val="clear" w:color="auto" w:fill="FBE4D5" w:themeFill="accent2" w:themeFillTint="33"/>
          </w:tcPr>
          <w:p w14:paraId="51C38C55"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Organisation</w:t>
            </w:r>
          </w:p>
        </w:tc>
        <w:tc>
          <w:tcPr>
            <w:tcW w:w="6201" w:type="dxa"/>
          </w:tcPr>
          <w:p w14:paraId="55EB6B13" w14:textId="77777777" w:rsidR="00CA4411" w:rsidRPr="006606A1" w:rsidRDefault="00CA4411" w:rsidP="006606A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6606A1">
              <w:rPr>
                <w:rFonts w:cs="Arial"/>
                <w:color w:val="000000" w:themeColor="text1"/>
                <w:kern w:val="0"/>
                <w:sz w:val="22"/>
                <w:szCs w:val="22"/>
                <w14:ligatures w14:val="none"/>
              </w:rPr>
              <w:t>Sydney Sexual Health Centre (SSHC)</w:t>
            </w:r>
          </w:p>
        </w:tc>
      </w:tr>
      <w:tr w:rsidR="00CA4411" w:rsidRPr="006606A1" w14:paraId="0C5A2C77" w14:textId="77777777" w:rsidTr="004E7A51">
        <w:tc>
          <w:tcPr>
            <w:cnfStyle w:val="001000000000" w:firstRow="0" w:lastRow="0" w:firstColumn="1" w:lastColumn="0" w:oddVBand="0" w:evenVBand="0" w:oddHBand="0" w:evenHBand="0" w:firstRowFirstColumn="0" w:firstRowLastColumn="0" w:lastRowFirstColumn="0" w:lastRowLastColumn="0"/>
            <w:tcW w:w="3642" w:type="dxa"/>
            <w:shd w:val="clear" w:color="auto" w:fill="FBE4D5" w:themeFill="accent2" w:themeFillTint="33"/>
          </w:tcPr>
          <w:p w14:paraId="5E9D467E"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Strategy outcomes</w:t>
            </w:r>
          </w:p>
        </w:tc>
        <w:tc>
          <w:tcPr>
            <w:tcW w:w="6201" w:type="dxa"/>
          </w:tcPr>
          <w:p w14:paraId="7DFC768B" w14:textId="2FF433CB" w:rsidR="008211BA" w:rsidRPr="003B2996" w:rsidRDefault="008211BA" w:rsidP="008B43F1">
            <w:pPr>
              <w:pStyle w:val="BodyText"/>
              <w:numPr>
                <w:ilvl w:val="0"/>
                <w:numId w:val="17"/>
              </w:numPr>
              <w:spacing w:before="120"/>
              <w:jc w:val="both"/>
              <w:cnfStyle w:val="000000000000" w:firstRow="0" w:lastRow="0" w:firstColumn="0" w:lastColumn="0" w:oddVBand="0" w:evenVBand="0" w:oddHBand="0" w:evenHBand="0" w:firstRowFirstColumn="0" w:firstRowLastColumn="0" w:lastRowFirstColumn="0" w:lastRowLastColumn="0"/>
              <w:rPr>
                <w:rFonts w:cs="Arial"/>
                <w:b/>
                <w:color w:val="000000" w:themeColor="text1"/>
                <w:kern w:val="0"/>
                <w:sz w:val="22"/>
                <w:szCs w:val="22"/>
                <w14:ligatures w14:val="none"/>
              </w:rPr>
            </w:pPr>
            <w:r w:rsidRPr="003B2996">
              <w:rPr>
                <w:rFonts w:cs="Arial"/>
                <w:color w:val="000000" w:themeColor="text1"/>
                <w:sz w:val="22"/>
                <w:szCs w:val="22"/>
              </w:rPr>
              <w:t>Goal 1: Reduce morbidity and complications from STI in Australia by scaling up evidence-based interventions.</w:t>
            </w:r>
          </w:p>
          <w:p w14:paraId="52A64483" w14:textId="41617B82" w:rsidR="00CA4411" w:rsidRPr="003B2996" w:rsidRDefault="00CA4411" w:rsidP="008B43F1">
            <w:pPr>
              <w:pStyle w:val="BodyText"/>
              <w:numPr>
                <w:ilvl w:val="0"/>
                <w:numId w:val="17"/>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w:t>
            </w:r>
            <w:r w:rsidR="00670A10" w:rsidRPr="003B2996">
              <w:rPr>
                <w:rFonts w:cs="Arial"/>
                <w:color w:val="000000" w:themeColor="text1"/>
                <w:sz w:val="22"/>
                <w:szCs w:val="22"/>
              </w:rPr>
              <w:t>3</w:t>
            </w:r>
            <w:r w:rsidRPr="003B2996">
              <w:rPr>
                <w:rFonts w:cs="Arial"/>
                <w:color w:val="000000" w:themeColor="text1"/>
                <w:sz w:val="22"/>
                <w:szCs w:val="22"/>
              </w:rPr>
              <w:t xml:space="preserve">: Increase awareness and understanding of STI as part of sexual </w:t>
            </w:r>
            <w:r w:rsidR="008211BA" w:rsidRPr="003B2996">
              <w:rPr>
                <w:rFonts w:cs="Arial"/>
                <w:color w:val="000000" w:themeColor="text1"/>
                <w:sz w:val="22"/>
                <w:szCs w:val="22"/>
              </w:rPr>
              <w:t xml:space="preserve">and reproductive </w:t>
            </w:r>
            <w:r w:rsidRPr="003B2996">
              <w:rPr>
                <w:rFonts w:cs="Arial"/>
                <w:color w:val="000000" w:themeColor="text1"/>
                <w:sz w:val="22"/>
                <w:szCs w:val="22"/>
              </w:rPr>
              <w:t>health for all in Australia</w:t>
            </w:r>
            <w:r w:rsidR="008211BA" w:rsidRPr="003B2996">
              <w:rPr>
                <w:rFonts w:cs="Arial"/>
                <w:color w:val="000000" w:themeColor="text1"/>
                <w:sz w:val="22"/>
                <w:szCs w:val="22"/>
              </w:rPr>
              <w:t>.</w:t>
            </w:r>
            <w:r w:rsidRPr="003B2996">
              <w:rPr>
                <w:rFonts w:cs="Arial"/>
                <w:color w:val="000000" w:themeColor="text1"/>
                <w:sz w:val="22"/>
                <w:szCs w:val="22"/>
              </w:rPr>
              <w:t xml:space="preserve"> </w:t>
            </w:r>
          </w:p>
          <w:p w14:paraId="28E5A0E5" w14:textId="0A5E4C77" w:rsidR="00CA4411" w:rsidRPr="006606A1" w:rsidRDefault="00CA4411" w:rsidP="008B43F1">
            <w:pPr>
              <w:pStyle w:val="BodyText"/>
              <w:numPr>
                <w:ilvl w:val="0"/>
                <w:numId w:val="17"/>
              </w:numPr>
              <w:spacing w:before="120"/>
              <w:jc w:val="both"/>
              <w:cnfStyle w:val="000000000000" w:firstRow="0" w:lastRow="0" w:firstColumn="0" w:lastColumn="0" w:oddVBand="0" w:evenVBand="0" w:oddHBand="0" w:evenHBand="0" w:firstRowFirstColumn="0" w:firstRowLastColumn="0" w:lastRowFirstColumn="0" w:lastRowLastColumn="0"/>
              <w:rPr>
                <w:rFonts w:cs="Arial"/>
                <w:b/>
                <w:bCs/>
                <w:color w:val="000000" w:themeColor="text1"/>
                <w:kern w:val="0"/>
                <w:sz w:val="22"/>
                <w:szCs w:val="22"/>
                <w14:ligatures w14:val="none"/>
              </w:rPr>
            </w:pPr>
            <w:r w:rsidRPr="003B2996">
              <w:rPr>
                <w:rFonts w:cs="Arial"/>
                <w:color w:val="000000" w:themeColor="text1"/>
                <w:sz w:val="22"/>
                <w:szCs w:val="22"/>
              </w:rPr>
              <w:t>Goal 4: Eliminate the negative impact of stigma, discrimination, and legal and human rights issues on people’s health</w:t>
            </w:r>
            <w:r w:rsidR="00E34A11">
              <w:rPr>
                <w:rFonts w:cs="Arial"/>
                <w:color w:val="000000" w:themeColor="text1"/>
                <w:kern w:val="0"/>
                <w:sz w:val="22"/>
                <w:szCs w:val="22"/>
                <w14:ligatures w14:val="none"/>
              </w:rPr>
              <w:t>.</w:t>
            </w:r>
          </w:p>
        </w:tc>
      </w:tr>
      <w:tr w:rsidR="00CA4411" w:rsidRPr="006606A1" w14:paraId="1EE7698D" w14:textId="77777777" w:rsidTr="004E7A51">
        <w:tc>
          <w:tcPr>
            <w:cnfStyle w:val="001000000000" w:firstRow="0" w:lastRow="0" w:firstColumn="1" w:lastColumn="0" w:oddVBand="0" w:evenVBand="0" w:oddHBand="0" w:evenHBand="0" w:firstRowFirstColumn="0" w:firstRowLastColumn="0" w:lastRowFirstColumn="0" w:lastRowLastColumn="0"/>
            <w:tcW w:w="3642" w:type="dxa"/>
            <w:shd w:val="clear" w:color="auto" w:fill="FBE4D5" w:themeFill="accent2" w:themeFillTint="33"/>
          </w:tcPr>
          <w:p w14:paraId="7A687857"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Priority populations</w:t>
            </w:r>
          </w:p>
        </w:tc>
        <w:tc>
          <w:tcPr>
            <w:tcW w:w="6201" w:type="dxa"/>
          </w:tcPr>
          <w:p w14:paraId="14DD9AC4" w14:textId="77777777" w:rsidR="00CA4411" w:rsidRPr="006606A1" w:rsidRDefault="00CA4411" w:rsidP="006606A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6606A1">
              <w:rPr>
                <w:rFonts w:cs="Arial"/>
                <w:color w:val="000000" w:themeColor="text1"/>
                <w:kern w:val="0"/>
                <w:sz w:val="22"/>
                <w:szCs w:val="22"/>
                <w14:ligatures w14:val="none"/>
              </w:rPr>
              <w:t>Gay, bisexual and other men who have sex with men</w:t>
            </w:r>
          </w:p>
          <w:p w14:paraId="1487201B" w14:textId="77777777" w:rsidR="00CA4411" w:rsidRPr="006606A1" w:rsidRDefault="00CA4411" w:rsidP="006606A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6606A1">
              <w:rPr>
                <w:rFonts w:cs="Arial"/>
                <w:color w:val="000000" w:themeColor="text1"/>
                <w:kern w:val="0"/>
                <w:sz w:val="22"/>
                <w:szCs w:val="22"/>
                <w14:ligatures w14:val="none"/>
              </w:rPr>
              <w:t xml:space="preserve">People from culturally and linguistically diverse backgrounds </w:t>
            </w:r>
          </w:p>
        </w:tc>
      </w:tr>
      <w:tr w:rsidR="00CA4411" w:rsidRPr="006606A1" w14:paraId="7C82A571" w14:textId="77777777" w:rsidTr="004E7A51">
        <w:tc>
          <w:tcPr>
            <w:cnfStyle w:val="001000000000" w:firstRow="0" w:lastRow="0" w:firstColumn="1" w:lastColumn="0" w:oddVBand="0" w:evenVBand="0" w:oddHBand="0" w:evenHBand="0" w:firstRowFirstColumn="0" w:firstRowLastColumn="0" w:lastRowFirstColumn="0" w:lastRowLastColumn="0"/>
            <w:tcW w:w="9843" w:type="dxa"/>
            <w:gridSpan w:val="2"/>
          </w:tcPr>
          <w:p w14:paraId="2EC9137A"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i/>
                <w:iCs/>
                <w:color w:val="000000" w:themeColor="text1"/>
                <w:kern w:val="0"/>
                <w:sz w:val="22"/>
                <w:szCs w:val="22"/>
                <w14:ligatures w14:val="none"/>
              </w:rPr>
              <w:t>‘Consumer involvement at all stages has been hugely valuable. Both a[TEST] and MyCheck highlight the continual need to tailor our services to the local population – there is no such thing as a “one size fits all” approach.’</w:t>
            </w:r>
            <w:r w:rsidRPr="006606A1">
              <w:rPr>
                <w:rFonts w:cs="Arial"/>
                <w:b w:val="0"/>
                <w:bCs w:val="0"/>
                <w:color w:val="000000" w:themeColor="text1"/>
                <w:kern w:val="0"/>
                <w:sz w:val="22"/>
                <w:szCs w:val="22"/>
                <w14:ligatures w14:val="none"/>
              </w:rPr>
              <w:t xml:space="preserve"> </w:t>
            </w:r>
          </w:p>
          <w:p w14:paraId="72FCED35"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 Dr Rick Varma, Senior Staff Specialist at Sydney Sexual Health Centre (SSHC)</w:t>
            </w:r>
          </w:p>
          <w:p w14:paraId="6442B9EC" w14:textId="1D22AC45"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SSHC offers testing, treatment</w:t>
            </w:r>
            <w:r w:rsidR="003D3554">
              <w:rPr>
                <w:rFonts w:cs="Arial"/>
                <w:b w:val="0"/>
                <w:bCs w:val="0"/>
                <w:color w:val="000000" w:themeColor="text1"/>
                <w:kern w:val="0"/>
                <w:sz w:val="22"/>
                <w:szCs w:val="22"/>
                <w14:ligatures w14:val="none"/>
              </w:rPr>
              <w:t>,</w:t>
            </w:r>
            <w:r w:rsidRPr="006606A1">
              <w:rPr>
                <w:rFonts w:cs="Arial"/>
                <w:b w:val="0"/>
                <w:bCs w:val="0"/>
                <w:color w:val="000000" w:themeColor="text1"/>
                <w:kern w:val="0"/>
                <w:sz w:val="22"/>
                <w:szCs w:val="22"/>
                <w14:ligatures w14:val="none"/>
              </w:rPr>
              <w:t xml:space="preserve"> and management for STI and HIV. In partnership with community organisations, SSHC has been at the forefront of many service delivery innovations, including a[TEST] and MyCheck, over its 90-year history. </w:t>
            </w:r>
          </w:p>
          <w:p w14:paraId="2727C54C" w14:textId="49B3D7C0"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Launched a decade ago with ACON, a[TEST] is a free and confidential rapid HIV and STI testing service for gay, bisexual</w:t>
            </w:r>
            <w:r w:rsidR="00881752">
              <w:rPr>
                <w:rFonts w:cs="Arial"/>
                <w:b w:val="0"/>
                <w:bCs w:val="0"/>
                <w:color w:val="000000" w:themeColor="text1"/>
                <w:kern w:val="0"/>
                <w:sz w:val="22"/>
                <w:szCs w:val="22"/>
                <w14:ligatures w14:val="none"/>
              </w:rPr>
              <w:t>,</w:t>
            </w:r>
            <w:r w:rsidRPr="006606A1">
              <w:rPr>
                <w:rFonts w:cs="Arial"/>
                <w:b w:val="0"/>
                <w:bCs w:val="0"/>
                <w:color w:val="000000" w:themeColor="text1"/>
                <w:kern w:val="0"/>
                <w:sz w:val="22"/>
                <w:szCs w:val="22"/>
                <w14:ligatures w14:val="none"/>
              </w:rPr>
              <w:t xml:space="preserve"> and other men who have sex with men. An a[TEST] Chinese Clinic was established recently to provide Mandarin-speaking gay men and men who have sex with men with easier access to sexual health screenings and information. As with all a[TEST] clinics, no Medicare card is required.</w:t>
            </w:r>
          </w:p>
          <w:p w14:paraId="20F86B36"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Launched as a pilot scheme with the NSW Sexual Health Infolink in November 2021, MyCheck enables SSHC clients to access free STI testing at a location convenient to them. For now, the service is available only to pre-existing clients who have no symptoms. It involves a quick assessment over the phone and then attending a commercial or public pathology collection centre. There is no need to attend the sexual health clinic. Negative results are delivered to clients via SMS. Clients with positive results receive a phone call from a clinic nurse to set up an appointment or coordinate the provision of treatment.</w:t>
            </w:r>
          </w:p>
          <w:p w14:paraId="7535BAB9" w14:textId="7998EF2A"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MyCheck is now being scaled up across publicly funded sexual health clinics in NSW. Scale-up includes the addition of a fully online self-assessment, which clients can complete as an alternative to the phone assessment with a nurse.</w:t>
            </w:r>
          </w:p>
          <w:p w14:paraId="29494FAF" w14:textId="7D0F118C" w:rsidR="00CA4411" w:rsidRPr="006606A1" w:rsidRDefault="00CA4411" w:rsidP="006606A1">
            <w:pPr>
              <w:pStyle w:val="BodyText"/>
              <w:spacing w:before="120"/>
              <w:jc w:val="both"/>
              <w:rPr>
                <w:rFonts w:cs="Arial"/>
                <w:color w:val="000000" w:themeColor="text1"/>
                <w:kern w:val="0"/>
                <w:sz w:val="22"/>
                <w:szCs w:val="22"/>
                <w14:ligatures w14:val="none"/>
              </w:rPr>
            </w:pPr>
            <w:r w:rsidRPr="006606A1">
              <w:rPr>
                <w:rFonts w:cs="Arial"/>
                <w:b w:val="0"/>
                <w:bCs w:val="0"/>
                <w:color w:val="000000" w:themeColor="text1"/>
                <w:kern w:val="0"/>
                <w:sz w:val="22"/>
                <w:szCs w:val="22"/>
                <w14:ligatures w14:val="none"/>
              </w:rPr>
              <w:t>For anyone looking to implement or scale up a similar service in their state, Dr Anna McNulty, Director of SSHC, shared: ‘Undoubtedly, it is initially resource intensive to establish such a seamless service as it does require a substantial technology investment. In addition, staff buy-in is critical to ensure that they support and proactively offer the service to clients.’</w:t>
            </w:r>
          </w:p>
        </w:tc>
      </w:tr>
      <w:tr w:rsidR="00CA4411" w:rsidRPr="006606A1" w14:paraId="45F7D232" w14:textId="77777777" w:rsidTr="004E7A51">
        <w:tc>
          <w:tcPr>
            <w:cnfStyle w:val="001000000000" w:firstRow="0" w:lastRow="0" w:firstColumn="1" w:lastColumn="0" w:oddVBand="0" w:evenVBand="0" w:oddHBand="0" w:evenHBand="0" w:firstRowFirstColumn="0" w:firstRowLastColumn="0" w:lastRowFirstColumn="0" w:lastRowLastColumn="0"/>
            <w:tcW w:w="3642" w:type="dxa"/>
            <w:shd w:val="clear" w:color="auto" w:fill="FBE4D5" w:themeFill="accent2" w:themeFillTint="33"/>
          </w:tcPr>
          <w:p w14:paraId="3B11DB15" w14:textId="77777777" w:rsidR="00CA4411" w:rsidRPr="006606A1" w:rsidRDefault="00CA4411" w:rsidP="006606A1">
            <w:pPr>
              <w:pStyle w:val="BodyText"/>
              <w:spacing w:before="120"/>
              <w:jc w:val="both"/>
              <w:rPr>
                <w:rFonts w:cs="Arial"/>
                <w:b w:val="0"/>
                <w:bCs w:val="0"/>
                <w:color w:val="000000" w:themeColor="text1"/>
                <w:kern w:val="0"/>
                <w:sz w:val="22"/>
                <w:szCs w:val="22"/>
                <w14:ligatures w14:val="none"/>
              </w:rPr>
            </w:pPr>
            <w:r w:rsidRPr="006606A1">
              <w:rPr>
                <w:rFonts w:cs="Arial"/>
                <w:b w:val="0"/>
                <w:bCs w:val="0"/>
                <w:color w:val="000000" w:themeColor="text1"/>
                <w:kern w:val="0"/>
                <w:sz w:val="22"/>
                <w:szCs w:val="22"/>
                <w14:ligatures w14:val="none"/>
              </w:rPr>
              <w:t xml:space="preserve">More information </w:t>
            </w:r>
          </w:p>
        </w:tc>
        <w:tc>
          <w:tcPr>
            <w:tcW w:w="6201" w:type="dxa"/>
          </w:tcPr>
          <w:p w14:paraId="370E985C" w14:textId="77777777" w:rsidR="00CA4411" w:rsidRPr="006606A1" w:rsidRDefault="00853142" w:rsidP="006606A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hyperlink r:id="rId107" w:history="1">
              <w:r w:rsidR="00CA4411" w:rsidRPr="006606A1">
                <w:rPr>
                  <w:rStyle w:val="Hyperlink"/>
                  <w:rFonts w:cs="Arial"/>
                  <w:sz w:val="22"/>
                  <w:szCs w:val="22"/>
                </w:rPr>
                <w:t>https://www.sshc.org.au</w:t>
              </w:r>
            </w:hyperlink>
            <w:r w:rsidR="00CA4411" w:rsidRPr="006606A1">
              <w:rPr>
                <w:rFonts w:cs="Arial"/>
                <w:color w:val="000000" w:themeColor="text1"/>
                <w:kern w:val="0"/>
                <w:sz w:val="22"/>
                <w:szCs w:val="22"/>
                <w14:ligatures w14:val="none"/>
              </w:rPr>
              <w:t xml:space="preserve"> </w:t>
            </w:r>
          </w:p>
        </w:tc>
      </w:tr>
    </w:tbl>
    <w:p w14:paraId="4F479AA9" w14:textId="77777777" w:rsidR="00CA4411" w:rsidRPr="00CA4411" w:rsidRDefault="00CA4411" w:rsidP="00CA4411">
      <w:pPr>
        <w:pStyle w:val="BodyText"/>
        <w:jc w:val="both"/>
        <w:rPr>
          <w:rFonts w:cs="Arial"/>
          <w:color w:val="000000" w:themeColor="text1"/>
          <w:sz w:val="22"/>
          <w:szCs w:val="22"/>
        </w:rPr>
      </w:pPr>
    </w:p>
    <w:p w14:paraId="09051EB6" w14:textId="77777777" w:rsidR="00CA4411" w:rsidRDefault="00CA4411" w:rsidP="00CA4411">
      <w:pPr>
        <w:pStyle w:val="BodyText"/>
        <w:jc w:val="both"/>
        <w:rPr>
          <w:rFonts w:cs="Arial"/>
          <w:b/>
          <w:bCs/>
          <w:color w:val="000000" w:themeColor="text1"/>
          <w:sz w:val="22"/>
          <w:szCs w:val="22"/>
        </w:rPr>
      </w:pPr>
    </w:p>
    <w:p w14:paraId="436C5C9C" w14:textId="3F6705F6" w:rsidR="009B1D52" w:rsidRDefault="009B1D52" w:rsidP="00CA4411">
      <w:pPr>
        <w:pStyle w:val="BodyText"/>
        <w:jc w:val="both"/>
        <w:rPr>
          <w:rFonts w:cs="Arial"/>
          <w:b/>
          <w:bCs/>
          <w:color w:val="000000" w:themeColor="text1"/>
          <w:sz w:val="22"/>
          <w:szCs w:val="22"/>
        </w:rPr>
      </w:pPr>
    </w:p>
    <w:p w14:paraId="0285511A" w14:textId="77777777" w:rsidR="00A733B0" w:rsidRDefault="00A733B0">
      <w:pPr>
        <w:rPr>
          <w:rFonts w:eastAsiaTheme="majorEastAsia" w:cs="Arial"/>
          <w:b/>
          <w:bCs/>
          <w:color w:val="000000" w:themeColor="text1"/>
          <w:sz w:val="28"/>
          <w:szCs w:val="28"/>
        </w:rPr>
      </w:pPr>
      <w:bookmarkStart w:id="158" w:name="_Toc148613980"/>
      <w:bookmarkStart w:id="159" w:name="_Toc150160981"/>
      <w:r>
        <w:rPr>
          <w:rFonts w:cs="Arial"/>
          <w:sz w:val="28"/>
          <w:szCs w:val="28"/>
        </w:rPr>
        <w:br w:type="page"/>
      </w:r>
    </w:p>
    <w:p w14:paraId="4176568A" w14:textId="636E08CF" w:rsidR="00CA4411" w:rsidRPr="0067370F" w:rsidRDefault="00420035" w:rsidP="0067370F">
      <w:pPr>
        <w:pStyle w:val="Heading2"/>
        <w:spacing w:after="120"/>
        <w:rPr>
          <w:rFonts w:ascii="Arial" w:hAnsi="Arial" w:cs="Arial"/>
          <w:b w:val="0"/>
        </w:rPr>
      </w:pPr>
      <w:bookmarkStart w:id="160" w:name="_Toc163737202"/>
      <w:bookmarkEnd w:id="158"/>
      <w:bookmarkEnd w:id="159"/>
      <w:r>
        <w:rPr>
          <w:rFonts w:ascii="Arial" w:hAnsi="Arial" w:cs="Arial"/>
          <w:sz w:val="28"/>
          <w:szCs w:val="28"/>
        </w:rPr>
        <w:lastRenderedPageBreak/>
        <w:t>Prevention, testing, and treatment</w:t>
      </w:r>
      <w:bookmarkEnd w:id="160"/>
      <w:r w:rsidR="00CA4411" w:rsidRPr="00671AC1">
        <w:rPr>
          <w:rFonts w:ascii="Arial" w:hAnsi="Arial" w:cs="Arial"/>
          <w:sz w:val="28"/>
          <w:szCs w:val="28"/>
        </w:rPr>
        <w:t xml:space="preserve"> </w:t>
      </w:r>
    </w:p>
    <w:tbl>
      <w:tblPr>
        <w:tblStyle w:val="GridTable1Light"/>
        <w:tblW w:w="9843" w:type="dxa"/>
        <w:tblBorders>
          <w:top w:val="single" w:sz="18" w:space="0" w:color="FF9F1C"/>
          <w:left w:val="single" w:sz="18" w:space="0" w:color="FF9F1C"/>
          <w:bottom w:val="single" w:sz="18" w:space="0" w:color="FF9F1C"/>
          <w:right w:val="single" w:sz="18" w:space="0" w:color="FF9F1C"/>
          <w:insideH w:val="single" w:sz="4" w:space="0" w:color="FF9F1C"/>
          <w:insideV w:val="none" w:sz="0" w:space="0" w:color="auto"/>
        </w:tblBorders>
        <w:tblCellMar>
          <w:left w:w="142" w:type="dxa"/>
          <w:right w:w="142" w:type="dxa"/>
        </w:tblCellMar>
        <w:tblLook w:val="04A0" w:firstRow="1" w:lastRow="0" w:firstColumn="1" w:lastColumn="0" w:noHBand="0" w:noVBand="1"/>
      </w:tblPr>
      <w:tblGrid>
        <w:gridCol w:w="2643"/>
        <w:gridCol w:w="7200"/>
      </w:tblGrid>
      <w:tr w:rsidR="00BE6E28" w:rsidRPr="00CA4411" w14:paraId="7C1EC936" w14:textId="77777777" w:rsidTr="003B2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7CAAC" w:themeFill="accent2" w:themeFillTint="66"/>
          </w:tcPr>
          <w:p w14:paraId="5DF43193" w14:textId="7B61D246" w:rsidR="00BE6E28" w:rsidRPr="006362EB" w:rsidRDefault="008B43F1" w:rsidP="00C222C3">
            <w:pPr>
              <w:pStyle w:val="Heading3"/>
              <w:numPr>
                <w:ilvl w:val="0"/>
                <w:numId w:val="0"/>
              </w:numPr>
              <w:rPr>
                <w:rFonts w:cs="Arial"/>
                <w:kern w:val="0"/>
                <w14:ligatures w14:val="none"/>
              </w:rPr>
            </w:pPr>
            <w:bookmarkStart w:id="161" w:name="_Case_study:_Promoting"/>
            <w:bookmarkStart w:id="162" w:name="_Toc148613981"/>
            <w:bookmarkStart w:id="163" w:name="_Toc150160982"/>
            <w:bookmarkEnd w:id="161"/>
            <w:r>
              <w:rPr>
                <w:rFonts w:ascii="ZWAdobeF" w:hAnsi="ZWAdobeF" w:cs="ZWAdobeF"/>
                <w:color w:val="auto"/>
                <w:sz w:val="2"/>
                <w:szCs w:val="2"/>
              </w:rPr>
              <w:t>4B</w:t>
            </w:r>
            <w:r w:rsidR="00BE6E28" w:rsidRPr="00C222C3">
              <w:rPr>
                <w:rFonts w:ascii="Arial" w:hAnsi="Arial" w:cs="Arial"/>
              </w:rPr>
              <w:t>Case study: Promoting STI awareness in communities: Using humour and gamification to empower sexual health action</w:t>
            </w:r>
            <w:bookmarkEnd w:id="162"/>
            <w:bookmarkEnd w:id="163"/>
          </w:p>
        </w:tc>
      </w:tr>
      <w:tr w:rsidR="00CA4411" w:rsidRPr="00CA4411" w14:paraId="63579B8C"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441A23A3" w14:textId="77777777" w:rsidR="00CA4411" w:rsidRPr="00CA4411" w:rsidRDefault="00CA4411" w:rsidP="0067370F">
            <w:pPr>
              <w:pStyle w:val="BodyText"/>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Location</w:t>
            </w:r>
          </w:p>
        </w:tc>
        <w:tc>
          <w:tcPr>
            <w:tcW w:w="0" w:type="dxa"/>
          </w:tcPr>
          <w:p w14:paraId="39D60A58"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New South Wales</w:t>
            </w:r>
          </w:p>
        </w:tc>
      </w:tr>
      <w:tr w:rsidR="00CA4411" w:rsidRPr="00CA4411" w14:paraId="490A52A4"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32F731F0" w14:textId="77777777" w:rsidR="00CA4411" w:rsidRPr="00CA4411" w:rsidRDefault="00CA4411" w:rsidP="0067370F">
            <w:pPr>
              <w:pStyle w:val="BodyText"/>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Organisation</w:t>
            </w:r>
          </w:p>
        </w:tc>
        <w:tc>
          <w:tcPr>
            <w:tcW w:w="0" w:type="dxa"/>
          </w:tcPr>
          <w:p w14:paraId="50438320"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New South Wales Sexually Transmissible Infections Programs Unit </w:t>
            </w:r>
          </w:p>
        </w:tc>
      </w:tr>
      <w:tr w:rsidR="00CA4411" w:rsidRPr="00CA4411" w14:paraId="065CAF8F"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2C114CA0" w14:textId="77777777" w:rsidR="00CA4411" w:rsidRPr="00CA4411" w:rsidRDefault="00CA4411" w:rsidP="0067370F">
            <w:pPr>
              <w:pStyle w:val="BodyText"/>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Strategy outcomes</w:t>
            </w:r>
          </w:p>
        </w:tc>
        <w:tc>
          <w:tcPr>
            <w:tcW w:w="0" w:type="dxa"/>
          </w:tcPr>
          <w:p w14:paraId="57FAD893" w14:textId="5658E3A5" w:rsidR="00D62569" w:rsidRPr="003B2996" w:rsidRDefault="00D62569" w:rsidP="008B43F1">
            <w:pPr>
              <w:pStyle w:val="BodyText"/>
              <w:numPr>
                <w:ilvl w:val="0"/>
                <w:numId w:val="18"/>
              </w:numPr>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1: Reduce morbidity and complications from STI in Australia by scaling up evidence-based interventions. </w:t>
            </w:r>
          </w:p>
          <w:p w14:paraId="2EB550F2" w14:textId="578543FA" w:rsidR="00CA4411" w:rsidRPr="003B2996" w:rsidRDefault="00CA4411" w:rsidP="008B43F1">
            <w:pPr>
              <w:pStyle w:val="BodyText"/>
              <w:numPr>
                <w:ilvl w:val="0"/>
                <w:numId w:val="18"/>
              </w:numPr>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w:t>
            </w:r>
            <w:r w:rsidR="00460A1E" w:rsidRPr="003B2996">
              <w:rPr>
                <w:rFonts w:cs="Arial"/>
                <w:color w:val="000000" w:themeColor="text1"/>
                <w:sz w:val="22"/>
                <w:szCs w:val="22"/>
              </w:rPr>
              <w:t>3</w:t>
            </w:r>
            <w:r w:rsidRPr="003B2996">
              <w:rPr>
                <w:rFonts w:cs="Arial"/>
                <w:color w:val="000000" w:themeColor="text1"/>
                <w:sz w:val="22"/>
                <w:szCs w:val="22"/>
              </w:rPr>
              <w:t xml:space="preserve">: Increase awareness and understanding of STI as part of sexual </w:t>
            </w:r>
            <w:r w:rsidR="00460A1E" w:rsidRPr="003B2996">
              <w:rPr>
                <w:rFonts w:cs="Arial"/>
                <w:color w:val="000000" w:themeColor="text1"/>
                <w:sz w:val="22"/>
                <w:szCs w:val="22"/>
              </w:rPr>
              <w:t xml:space="preserve">and reproductive </w:t>
            </w:r>
            <w:r w:rsidRPr="003B2996">
              <w:rPr>
                <w:rFonts w:cs="Arial"/>
                <w:color w:val="000000" w:themeColor="text1"/>
                <w:sz w:val="22"/>
                <w:szCs w:val="22"/>
              </w:rPr>
              <w:t xml:space="preserve">health for all in Australia. </w:t>
            </w:r>
          </w:p>
          <w:p w14:paraId="7C5C9212" w14:textId="6E825E5A" w:rsidR="00CA4411" w:rsidRPr="00CA4411" w:rsidRDefault="00CA4411" w:rsidP="008B43F1">
            <w:pPr>
              <w:pStyle w:val="BodyText"/>
              <w:numPr>
                <w:ilvl w:val="0"/>
                <w:numId w:val="18"/>
              </w:numPr>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Goal 4: Eliminate the negative impact of stigma, discrimination, and legal and human rights issues on people’s health</w:t>
            </w:r>
            <w:r w:rsidR="0043566D" w:rsidRPr="003B2996">
              <w:rPr>
                <w:rFonts w:cs="Arial"/>
                <w:color w:val="000000" w:themeColor="text1"/>
                <w:sz w:val="22"/>
                <w:szCs w:val="22"/>
              </w:rPr>
              <w:t>.</w:t>
            </w:r>
          </w:p>
        </w:tc>
      </w:tr>
      <w:tr w:rsidR="00CA4411" w:rsidRPr="00CA4411" w14:paraId="234910BE"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2CC7AD88" w14:textId="77777777" w:rsidR="00CA4411" w:rsidRPr="00CA4411" w:rsidRDefault="00CA4411" w:rsidP="0067370F">
            <w:pPr>
              <w:pStyle w:val="BodyText"/>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Priority populations</w:t>
            </w:r>
          </w:p>
        </w:tc>
        <w:tc>
          <w:tcPr>
            <w:tcW w:w="0" w:type="dxa"/>
          </w:tcPr>
          <w:p w14:paraId="0359172C"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Young people </w:t>
            </w:r>
          </w:p>
          <w:p w14:paraId="0BDAA185" w14:textId="585B14A1" w:rsidR="00CA4411" w:rsidRPr="00CA4411" w:rsidRDefault="009E5590"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Pr>
                <w:rFonts w:cs="Arial"/>
                <w:color w:val="000000" w:themeColor="text1"/>
                <w:kern w:val="0"/>
                <w:sz w:val="22"/>
                <w:szCs w:val="22"/>
                <w14:ligatures w14:val="none"/>
              </w:rPr>
              <w:t>Aboriginal and Torres Strait Islander</w:t>
            </w:r>
            <w:r w:rsidR="00CA4411" w:rsidRPr="00CA4411">
              <w:rPr>
                <w:rFonts w:cs="Arial"/>
                <w:color w:val="000000" w:themeColor="text1"/>
                <w:kern w:val="0"/>
                <w:sz w:val="22"/>
                <w:szCs w:val="22"/>
                <w14:ligatures w14:val="none"/>
              </w:rPr>
              <w:t xml:space="preserve"> people </w:t>
            </w:r>
          </w:p>
          <w:p w14:paraId="5D731713"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People from culturally and linguistically diverse backgrounds</w:t>
            </w:r>
          </w:p>
        </w:tc>
      </w:tr>
      <w:tr w:rsidR="00CA4411" w:rsidRPr="00CA4411" w14:paraId="13B2256C" w14:textId="77777777" w:rsidTr="003B2996">
        <w:tc>
          <w:tcPr>
            <w:cnfStyle w:val="001000000000" w:firstRow="0" w:lastRow="0" w:firstColumn="1" w:lastColumn="0" w:oddVBand="0" w:evenVBand="0" w:oddHBand="0" w:evenHBand="0" w:firstRowFirstColumn="0" w:firstRowLastColumn="0" w:lastRowFirstColumn="0" w:lastRowLastColumn="0"/>
            <w:tcW w:w="0" w:type="dxa"/>
            <w:gridSpan w:val="2"/>
          </w:tcPr>
          <w:p w14:paraId="2B1828AF" w14:textId="53B6C9A6" w:rsidR="00CA4411" w:rsidRPr="004F2BDA" w:rsidRDefault="00CA4411" w:rsidP="0067370F">
            <w:pPr>
              <w:pStyle w:val="BodyText"/>
              <w:spacing w:before="60" w:after="60"/>
              <w:jc w:val="both"/>
              <w:rPr>
                <w:rFonts w:cs="Arial"/>
                <w:b w:val="0"/>
                <w:bCs w:val="0"/>
                <w:i/>
                <w:iCs/>
                <w:color w:val="000000" w:themeColor="text1"/>
                <w:kern w:val="0"/>
                <w:sz w:val="22"/>
                <w:szCs w:val="22"/>
                <w14:ligatures w14:val="none"/>
              </w:rPr>
            </w:pPr>
            <w:r w:rsidRPr="00CA4411">
              <w:rPr>
                <w:rFonts w:cs="Arial"/>
                <w:b w:val="0"/>
                <w:bCs w:val="0"/>
                <w:i/>
                <w:iCs/>
                <w:color w:val="000000" w:themeColor="text1"/>
                <w:kern w:val="0"/>
                <w:sz w:val="22"/>
                <w:szCs w:val="22"/>
                <w14:ligatures w14:val="none"/>
              </w:rPr>
              <w:t>‘The Play Safe website is great! Really relevant content for young people and heaps of information about stuff we're too “scared” to ask others.’</w:t>
            </w:r>
            <w:r w:rsidR="004F2BDA">
              <w:rPr>
                <w:rFonts w:cs="Arial"/>
                <w:b w:val="0"/>
                <w:bCs w:val="0"/>
                <w:i/>
                <w:iCs/>
                <w:color w:val="000000" w:themeColor="text1"/>
                <w:kern w:val="0"/>
                <w:sz w:val="22"/>
                <w:szCs w:val="22"/>
                <w14:ligatures w14:val="none"/>
              </w:rPr>
              <w:t xml:space="preserve"> </w:t>
            </w:r>
            <w:r w:rsidRPr="00CA4411">
              <w:rPr>
                <w:rFonts w:cs="Arial"/>
                <w:b w:val="0"/>
                <w:bCs w:val="0"/>
                <w:color w:val="000000" w:themeColor="text1"/>
                <w:kern w:val="0"/>
                <w:sz w:val="22"/>
                <w:szCs w:val="22"/>
                <w14:ligatures w14:val="none"/>
              </w:rPr>
              <w:t xml:space="preserve">– Anonymous, 19 (Sydney, Australia)        </w:t>
            </w:r>
          </w:p>
          <w:p w14:paraId="43619F93" w14:textId="2AF2E269" w:rsidR="00CA4411" w:rsidRPr="00CA4411" w:rsidRDefault="00CA4411" w:rsidP="0067370F">
            <w:pPr>
              <w:pStyle w:val="BodyText"/>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The New South Wales Sexually Transmissible Infections Programs Unit (NSW STIPU) aims to reduce acquisition of HIV and STI and associated morbidity and mortality in NSW. This is achieved by working with priority populations and the public and private health systems to build capacity for prevention, treatment</w:t>
            </w:r>
            <w:r w:rsidR="00881752">
              <w:rPr>
                <w:rFonts w:cs="Arial"/>
                <w:b w:val="0"/>
                <w:bCs w:val="0"/>
                <w:color w:val="000000" w:themeColor="text1"/>
                <w:kern w:val="0"/>
                <w:sz w:val="22"/>
                <w:szCs w:val="22"/>
                <w14:ligatures w14:val="none"/>
              </w:rPr>
              <w:t>,</w:t>
            </w:r>
            <w:r w:rsidRPr="00CA4411">
              <w:rPr>
                <w:rFonts w:cs="Arial"/>
                <w:b w:val="0"/>
                <w:bCs w:val="0"/>
                <w:color w:val="000000" w:themeColor="text1"/>
                <w:kern w:val="0"/>
                <w:sz w:val="22"/>
                <w:szCs w:val="22"/>
                <w14:ligatures w14:val="none"/>
              </w:rPr>
              <w:t xml:space="preserve"> and management of HIV and STI. A key STIPU objective is to promote community awareness through state-wide STI social marketing and communications campaigns. </w:t>
            </w:r>
          </w:p>
          <w:p w14:paraId="4013C5FB" w14:textId="77777777" w:rsidR="00CA4411" w:rsidRPr="00CA4411" w:rsidRDefault="00CA4411" w:rsidP="0067370F">
            <w:pPr>
              <w:pStyle w:val="BodyText"/>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Three of its ongoing campaigns are Play Safe, Take Blaktion and The International Student Health Hub:</w:t>
            </w:r>
          </w:p>
          <w:p w14:paraId="519EF4EA" w14:textId="77777777" w:rsidR="00CA4411" w:rsidRPr="00CA4411" w:rsidRDefault="00CA4411">
            <w:pPr>
              <w:pStyle w:val="BodyText"/>
              <w:numPr>
                <w:ilvl w:val="0"/>
                <w:numId w:val="13"/>
              </w:numPr>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Launched in 2014, the Play Safe website was designed by young people for young people and aims to educate this cohort, aged 15-29, about sexual health. Focused on promoting regular STI testing and condom use, the website utilises interactive tools and resources, including a sexual health nurse Q&amp;A service, a testing location finder and sexual health knowledge quizzes. More than 5 million people have visited the website.</w:t>
            </w:r>
          </w:p>
          <w:p w14:paraId="5A26A0D4" w14:textId="70B0437F" w:rsidR="00CA4411" w:rsidRPr="00CA4411" w:rsidRDefault="00CA4411">
            <w:pPr>
              <w:pStyle w:val="BodyText"/>
              <w:numPr>
                <w:ilvl w:val="0"/>
                <w:numId w:val="13"/>
              </w:numPr>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Launched in 2015, Take Blaktion is an integrated communication and sexual health education campaign aimed at young </w:t>
            </w:r>
            <w:r w:rsidR="009E5590" w:rsidRPr="009E5590">
              <w:rPr>
                <w:rFonts w:cs="Arial"/>
                <w:b w:val="0"/>
                <w:bCs w:val="0"/>
                <w:color w:val="000000" w:themeColor="text1"/>
                <w:kern w:val="0"/>
                <w:sz w:val="22"/>
                <w:szCs w:val="22"/>
                <w14:ligatures w14:val="none"/>
              </w:rPr>
              <w:t>Aboriginal and Torres Strait Islander</w:t>
            </w:r>
            <w:r w:rsidR="00EC7881">
              <w:rPr>
                <w:rFonts w:cs="Arial"/>
                <w:b w:val="0"/>
                <w:bCs w:val="0"/>
                <w:color w:val="000000" w:themeColor="text1"/>
                <w:kern w:val="0"/>
                <w:sz w:val="22"/>
                <w:szCs w:val="22"/>
                <w14:ligatures w14:val="none"/>
              </w:rPr>
              <w:t xml:space="preserve"> </w:t>
            </w:r>
            <w:r w:rsidRPr="00CA4411">
              <w:rPr>
                <w:rFonts w:cs="Arial"/>
                <w:b w:val="0"/>
                <w:bCs w:val="0"/>
                <w:color w:val="000000" w:themeColor="text1"/>
                <w:kern w:val="0"/>
                <w:sz w:val="22"/>
                <w:szCs w:val="22"/>
                <w14:ligatures w14:val="none"/>
              </w:rPr>
              <w:t xml:space="preserve">people in NSW. Through comedy skit videos and event activations, the campaign uses humour to break down shame and stigma and increase awareness of STI testing and condom use. Take Blaktion relies on Aboriginal engagement at every level. </w:t>
            </w:r>
          </w:p>
          <w:p w14:paraId="16F4CD78" w14:textId="77777777" w:rsidR="00CA4411" w:rsidRPr="00CA4411" w:rsidRDefault="00CA4411">
            <w:pPr>
              <w:pStyle w:val="BodyText"/>
              <w:numPr>
                <w:ilvl w:val="0"/>
                <w:numId w:val="13"/>
              </w:numPr>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Launched in 2021, The International Student Health Hub is a one-stop shop to improve access to trusted sexual health information and services for international students. Over 70 organisations collaborate on the website, which is co-designed with international students. The Hub has recorded more than 10,500 unique visits and 27,000 page views. </w:t>
            </w:r>
          </w:p>
          <w:p w14:paraId="38EDBE81" w14:textId="77777777" w:rsidR="00CA4411" w:rsidRPr="00CA4411" w:rsidRDefault="00CA4411" w:rsidP="0067370F">
            <w:pPr>
              <w:pStyle w:val="BodyText"/>
              <w:spacing w:before="60" w:after="60"/>
              <w:jc w:val="both"/>
              <w:rPr>
                <w:rFonts w:cs="Arial"/>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‘It’s critical that credible health information has a place online given how much inaccurate information is available,’ STIPU’s Social Marketing and Health Promotion Program Manager, Jordan Murray, said. ‘To anyone considering developing a content-based website like we have, I’d suggest involving the target group and co-designing it with them as much as possible. Plus, invest in the right digital agency, develop a great approval process with your communications team and don’t be afraid to push the boundaries when it comes to content.’ </w:t>
            </w:r>
          </w:p>
        </w:tc>
      </w:tr>
      <w:tr w:rsidR="00CA4411" w:rsidRPr="00CA4411" w14:paraId="20074E77"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34524972" w14:textId="77777777" w:rsidR="00CA4411" w:rsidRPr="00CA4411" w:rsidRDefault="00CA4411" w:rsidP="0067370F">
            <w:pPr>
              <w:pStyle w:val="BodyText"/>
              <w:spacing w:before="60" w:after="6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More information </w:t>
            </w:r>
          </w:p>
        </w:tc>
        <w:tc>
          <w:tcPr>
            <w:tcW w:w="0" w:type="dxa"/>
          </w:tcPr>
          <w:p w14:paraId="53D87081"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stipu.nsw.gov.au </w:t>
            </w:r>
          </w:p>
          <w:p w14:paraId="3160F9C1"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playsafe.health.nsw.gov.au </w:t>
            </w:r>
          </w:p>
          <w:p w14:paraId="705A2260"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takeblaktion.playsafe.health.nsw.gov.au </w:t>
            </w:r>
          </w:p>
          <w:p w14:paraId="4CE59EBB" w14:textId="77777777" w:rsidR="00CA4411" w:rsidRPr="00CA4411" w:rsidRDefault="00CA4411" w:rsidP="0067370F">
            <w:pPr>
              <w:pStyle w:val="BodyText"/>
              <w:spacing w:before="60" w:after="6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internationalstudents.health.nsw.gov.au </w:t>
            </w:r>
          </w:p>
        </w:tc>
      </w:tr>
      <w:tr w:rsidR="00BE6E28" w:rsidRPr="00CA4411" w14:paraId="4371C59E" w14:textId="77777777" w:rsidTr="003B2996">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7CAAC" w:themeFill="accent2" w:themeFillTint="66"/>
          </w:tcPr>
          <w:p w14:paraId="0281AA60" w14:textId="26ADFA23" w:rsidR="00BE6E28" w:rsidRPr="00C222C3" w:rsidRDefault="008B43F1" w:rsidP="00C222C3">
            <w:pPr>
              <w:pStyle w:val="Heading3"/>
              <w:numPr>
                <w:ilvl w:val="0"/>
                <w:numId w:val="0"/>
              </w:numPr>
              <w:rPr>
                <w:rFonts w:cs="Arial"/>
              </w:rPr>
            </w:pPr>
            <w:bookmarkStart w:id="164" w:name="_Case_study:_Benefiting"/>
            <w:bookmarkStart w:id="165" w:name="_Toc148613982"/>
            <w:bookmarkStart w:id="166" w:name="_Toc150160983"/>
            <w:bookmarkEnd w:id="164"/>
            <w:r>
              <w:rPr>
                <w:rFonts w:ascii="ZWAdobeF" w:hAnsi="ZWAdobeF" w:cs="ZWAdobeF"/>
                <w:color w:val="auto"/>
                <w:sz w:val="2"/>
                <w:szCs w:val="2"/>
              </w:rPr>
              <w:lastRenderedPageBreak/>
              <w:t>5B</w:t>
            </w:r>
            <w:r w:rsidR="00BE6E28" w:rsidRPr="00C222C3">
              <w:rPr>
                <w:rFonts w:ascii="Arial" w:hAnsi="Arial" w:cs="Arial"/>
              </w:rPr>
              <w:t>Case study: Benefiting from new technologies: Employing molecular point-of-care tests to reach Australia’s most remote communities</w:t>
            </w:r>
            <w:bookmarkEnd w:id="165"/>
            <w:bookmarkEnd w:id="166"/>
          </w:p>
        </w:tc>
      </w:tr>
      <w:tr w:rsidR="00CA4411" w:rsidRPr="00CA4411" w14:paraId="6D86EB1C"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7EB726B3"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Location</w:t>
            </w:r>
          </w:p>
        </w:tc>
        <w:tc>
          <w:tcPr>
            <w:tcW w:w="0" w:type="dxa"/>
          </w:tcPr>
          <w:p w14:paraId="53548BE0" w14:textId="14EABE23" w:rsidR="00CA4411" w:rsidRPr="00CA4411" w:rsidRDefault="00CA4411"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Western Australia, Far North Queensland</w:t>
            </w:r>
            <w:r w:rsidR="00A702D3">
              <w:rPr>
                <w:rFonts w:cs="Arial"/>
                <w:color w:val="000000" w:themeColor="text1"/>
                <w:kern w:val="0"/>
                <w:sz w:val="22"/>
                <w:szCs w:val="22"/>
                <w14:ligatures w14:val="none"/>
              </w:rPr>
              <w:t>,</w:t>
            </w:r>
            <w:r w:rsidRPr="00CA4411">
              <w:rPr>
                <w:rFonts w:cs="Arial"/>
                <w:color w:val="000000" w:themeColor="text1"/>
                <w:kern w:val="0"/>
                <w:sz w:val="22"/>
                <w:szCs w:val="22"/>
                <w14:ligatures w14:val="none"/>
              </w:rPr>
              <w:t xml:space="preserve"> and South Australia </w:t>
            </w:r>
          </w:p>
        </w:tc>
      </w:tr>
      <w:tr w:rsidR="00CA4411" w:rsidRPr="00CA4411" w14:paraId="27B948ED"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6BF69019"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Organisation</w:t>
            </w:r>
          </w:p>
        </w:tc>
        <w:tc>
          <w:tcPr>
            <w:tcW w:w="0" w:type="dxa"/>
          </w:tcPr>
          <w:p w14:paraId="6D0303E5" w14:textId="6C7830DE" w:rsidR="00CA4411" w:rsidRPr="00CA4411" w:rsidRDefault="00CA4411"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Collaboration between academic research institutions, Aboriginal and government health organisations, pathology providers, health services, communities</w:t>
            </w:r>
            <w:r w:rsidR="007B62F0">
              <w:rPr>
                <w:rFonts w:cs="Arial"/>
                <w:color w:val="000000" w:themeColor="text1"/>
                <w:kern w:val="0"/>
                <w:sz w:val="22"/>
                <w:szCs w:val="22"/>
                <w14:ligatures w14:val="none"/>
              </w:rPr>
              <w:t>,</w:t>
            </w:r>
            <w:r w:rsidRPr="00CA4411">
              <w:rPr>
                <w:rFonts w:cs="Arial"/>
                <w:color w:val="000000" w:themeColor="text1"/>
                <w:kern w:val="0"/>
                <w:sz w:val="22"/>
                <w:szCs w:val="22"/>
                <w14:ligatures w14:val="none"/>
              </w:rPr>
              <w:t xml:space="preserve"> and industry</w:t>
            </w:r>
          </w:p>
        </w:tc>
      </w:tr>
      <w:tr w:rsidR="00CA4411" w:rsidRPr="00CA4411" w14:paraId="252CD92D"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0A2F72C2"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Strategy outcomes</w:t>
            </w:r>
          </w:p>
        </w:tc>
        <w:tc>
          <w:tcPr>
            <w:tcW w:w="0" w:type="dxa"/>
          </w:tcPr>
          <w:p w14:paraId="42AD024D" w14:textId="0E1D70C6" w:rsidR="00CA4411" w:rsidRPr="003B2996" w:rsidRDefault="00CA4411" w:rsidP="008B43F1">
            <w:pPr>
              <w:pStyle w:val="BodyText"/>
              <w:numPr>
                <w:ilvl w:val="0"/>
                <w:numId w:val="19"/>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w:t>
            </w:r>
            <w:r w:rsidR="00ED334A" w:rsidRPr="003B2996">
              <w:rPr>
                <w:rFonts w:cs="Arial"/>
                <w:color w:val="000000" w:themeColor="text1"/>
                <w:sz w:val="22"/>
                <w:szCs w:val="22"/>
              </w:rPr>
              <w:t>1</w:t>
            </w:r>
            <w:r w:rsidRPr="003B2996">
              <w:rPr>
                <w:rFonts w:cs="Arial"/>
                <w:color w:val="000000" w:themeColor="text1"/>
                <w:sz w:val="22"/>
                <w:szCs w:val="22"/>
              </w:rPr>
              <w:t>: Reduce morbidity and complications from STI in Australia by scaling up evidence-based interventions</w:t>
            </w:r>
            <w:r w:rsidR="00BA5D0A" w:rsidRPr="00BA5D0A">
              <w:rPr>
                <w:rFonts w:cs="Arial"/>
                <w:color w:val="000000" w:themeColor="text1"/>
                <w:kern w:val="0"/>
                <w:sz w:val="22"/>
                <w:szCs w:val="22"/>
                <w14:ligatures w14:val="none"/>
              </w:rPr>
              <w:t>.</w:t>
            </w:r>
            <w:r w:rsidRPr="00CA4411">
              <w:rPr>
                <w:rFonts w:cs="Arial"/>
                <w:color w:val="000000" w:themeColor="text1"/>
                <w:kern w:val="0"/>
                <w:sz w:val="22"/>
                <w:szCs w:val="22"/>
                <w14:ligatures w14:val="none"/>
              </w:rPr>
              <w:t xml:space="preserve"> </w:t>
            </w:r>
            <w:r w:rsidRPr="003B2996">
              <w:rPr>
                <w:rFonts w:cs="Arial"/>
                <w:color w:val="000000" w:themeColor="text1"/>
                <w:sz w:val="22"/>
                <w:szCs w:val="22"/>
              </w:rPr>
              <w:t xml:space="preserve"> </w:t>
            </w:r>
          </w:p>
          <w:p w14:paraId="3D40E3E8" w14:textId="245C5AF9" w:rsidR="00C0100E" w:rsidRPr="003B2996" w:rsidRDefault="00C0100E" w:rsidP="008B43F1">
            <w:pPr>
              <w:pStyle w:val="BodyText"/>
              <w:numPr>
                <w:ilvl w:val="0"/>
                <w:numId w:val="19"/>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Goal 3: Increase awareness and understanding of STI as part of sexual and reproductive health for all in Australia.</w:t>
            </w:r>
          </w:p>
          <w:p w14:paraId="023E2562" w14:textId="263B6E91" w:rsidR="00CA4411" w:rsidRPr="00CA4411" w:rsidRDefault="00CA4411" w:rsidP="008B43F1">
            <w:pPr>
              <w:pStyle w:val="BodyText"/>
              <w:numPr>
                <w:ilvl w:val="0"/>
                <w:numId w:val="19"/>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Goal 4: Eliminate the negative impact of stigma, discrimination, and legal and human rights issues on people’s health</w:t>
            </w:r>
            <w:r w:rsidR="00C0100E">
              <w:rPr>
                <w:rFonts w:cs="Arial"/>
                <w:color w:val="000000" w:themeColor="text1"/>
                <w:kern w:val="0"/>
                <w:sz w:val="22"/>
                <w:szCs w:val="22"/>
                <w14:ligatures w14:val="none"/>
              </w:rPr>
              <w:t>.</w:t>
            </w:r>
          </w:p>
        </w:tc>
      </w:tr>
      <w:tr w:rsidR="00CA4411" w:rsidRPr="00CA4411" w14:paraId="35F0C614"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44944C25"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Priority populations</w:t>
            </w:r>
          </w:p>
        </w:tc>
        <w:tc>
          <w:tcPr>
            <w:tcW w:w="0" w:type="dxa"/>
          </w:tcPr>
          <w:p w14:paraId="083A0C26" w14:textId="211AC28A" w:rsidR="00CA4411" w:rsidRPr="00CA4411" w:rsidRDefault="009E5590"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9E5590">
              <w:rPr>
                <w:rFonts w:cs="Arial"/>
                <w:color w:val="000000" w:themeColor="text1"/>
                <w:kern w:val="0"/>
                <w:sz w:val="22"/>
                <w:szCs w:val="22"/>
                <w14:ligatures w14:val="none"/>
              </w:rPr>
              <w:t>Aboriginal and Torres Strait Islander</w:t>
            </w:r>
            <w:r w:rsidR="00CA4411" w:rsidRPr="00CA4411">
              <w:rPr>
                <w:rFonts w:cs="Arial"/>
                <w:color w:val="000000" w:themeColor="text1"/>
                <w:kern w:val="0"/>
                <w:sz w:val="22"/>
                <w:szCs w:val="22"/>
                <w14:ligatures w14:val="none"/>
              </w:rPr>
              <w:t xml:space="preserve"> people </w:t>
            </w:r>
          </w:p>
        </w:tc>
      </w:tr>
      <w:tr w:rsidR="00CA4411" w:rsidRPr="00CA4411" w14:paraId="4730C8AC" w14:textId="77777777" w:rsidTr="003B2996">
        <w:tc>
          <w:tcPr>
            <w:cnfStyle w:val="001000000000" w:firstRow="0" w:lastRow="0" w:firstColumn="1" w:lastColumn="0" w:oddVBand="0" w:evenVBand="0" w:oddHBand="0" w:evenHBand="0" w:firstRowFirstColumn="0" w:firstRowLastColumn="0" w:lastRowFirstColumn="0" w:lastRowLastColumn="0"/>
            <w:tcW w:w="0" w:type="dxa"/>
            <w:gridSpan w:val="2"/>
          </w:tcPr>
          <w:p w14:paraId="70EBB08C"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Many regional and remote Aboriginal and/or Torres Strait Islander communities in Australia experience unacceptably high rates of STI. Reasons are complex, but the development of highly accurate molecular point-of-care (POC) tests for STI (GeneXpert, Cepheid) is enabling the provision of same-day testing and more timely treatment by clinical staff through primary care services in these communities.</w:t>
            </w:r>
          </w:p>
          <w:p w14:paraId="3CDEC9F7" w14:textId="11DD91CC"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Following a field evaluation to identify the most suitable POC technology, the TTANGO (Test Treat And GO) research trial was conducted from 2013 to 2015 to determine the acceptability, performance</w:t>
            </w:r>
            <w:r w:rsidR="00F060B0">
              <w:rPr>
                <w:rFonts w:cs="Arial"/>
                <w:b w:val="0"/>
                <w:bCs w:val="0"/>
                <w:color w:val="000000" w:themeColor="text1"/>
                <w:kern w:val="0"/>
                <w:sz w:val="22"/>
                <w:szCs w:val="22"/>
                <w14:ligatures w14:val="none"/>
              </w:rPr>
              <w:t>,</w:t>
            </w:r>
            <w:r w:rsidRPr="00CA4411">
              <w:rPr>
                <w:rFonts w:cs="Arial"/>
                <w:b w:val="0"/>
                <w:bCs w:val="0"/>
                <w:color w:val="000000" w:themeColor="text1"/>
                <w:kern w:val="0"/>
                <w:sz w:val="22"/>
                <w:szCs w:val="22"/>
                <w14:ligatures w14:val="none"/>
              </w:rPr>
              <w:t xml:space="preserve"> and clinical impact of this technology for the detection of chlamydia and gonorrhoea in these communities. It was the first randomised controlled trial of molecular POC tests for chlamydia and gonorrhoea performed in regional and remote primary health services internationally. It found that POC testing could be accurately performed by trained clinical staff in regional and remote Aboriginal and/or Torres Strait Islander communities and led to significantly improved treatment uptake and timeliness. </w:t>
            </w:r>
          </w:p>
          <w:p w14:paraId="49F6E890"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Based on the results of the TTANGO research trial, TTANGO2 was funded. POC testing for chlamydia and gonorrhoea continued, with trichomoniasis added in 2018. Between 2016 and 2019, STI testing using this approach was implemented in more than 30 primary health services across four jurisdictions. </w:t>
            </w:r>
          </w:p>
          <w:p w14:paraId="08E152C3" w14:textId="22CE20AF" w:rsidR="00CA4411" w:rsidRPr="00CA4411" w:rsidRDefault="00CA4411" w:rsidP="00671AC1">
            <w:pPr>
              <w:pStyle w:val="BodyText"/>
              <w:spacing w:before="120"/>
              <w:jc w:val="both"/>
              <w:rPr>
                <w:rFonts w:cs="Arial"/>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Preliminary results from a 2023 evaluation suggest that POC testing for STI is scalable and cost-effective and provides sustained clinical benefit, including modelled reductions in pelvic inflammatory disease and preterm births. It found strong acceptability of this approach among healthcare </w:t>
            </w:r>
            <w:r w:rsidR="00BA236D" w:rsidRPr="00CA4411">
              <w:rPr>
                <w:rFonts w:cs="Arial"/>
                <w:b w:val="0"/>
                <w:bCs w:val="0"/>
                <w:color w:val="000000" w:themeColor="text1"/>
                <w:kern w:val="0"/>
                <w:sz w:val="22"/>
                <w:szCs w:val="22"/>
                <w14:ligatures w14:val="none"/>
              </w:rPr>
              <w:t>workers but</w:t>
            </w:r>
            <w:r w:rsidRPr="00CA4411">
              <w:rPr>
                <w:rFonts w:cs="Arial"/>
                <w:b w:val="0"/>
                <w:bCs w:val="0"/>
                <w:color w:val="000000" w:themeColor="text1"/>
                <w:kern w:val="0"/>
                <w:sz w:val="22"/>
                <w:szCs w:val="22"/>
                <w14:ligatures w14:val="none"/>
              </w:rPr>
              <w:t xml:space="preserve"> emphasised that scale-up efforts should communicate the clinical benefits of POC testing for STI and ensure adequate training. Further, strategies to increase community awareness of POC testing for STI and reduce stigma </w:t>
            </w:r>
            <w:sdt>
              <w:sdtPr>
                <w:rPr>
                  <w:rFonts w:cs="Arial"/>
                  <w:color w:val="000000" w:themeColor="text1"/>
                  <w:sz w:val="22"/>
                  <w:szCs w:val="22"/>
                </w:rPr>
                <w:tag w:val="goog_rdk_6"/>
                <w:id w:val="-1610889204"/>
              </w:sdtPr>
              <w:sdtEndPr/>
              <w:sdtContent/>
            </w:sdt>
            <w:r w:rsidRPr="00CA4411">
              <w:rPr>
                <w:rFonts w:cs="Arial"/>
                <w:b w:val="0"/>
                <w:bCs w:val="0"/>
                <w:color w:val="000000" w:themeColor="text1"/>
                <w:kern w:val="0"/>
                <w:sz w:val="22"/>
                <w:szCs w:val="22"/>
                <w14:ligatures w14:val="none"/>
              </w:rPr>
              <w:t>or embarrassment associated with sexual health more generally should underpin scale-up efforts.</w:t>
            </w:r>
          </w:p>
        </w:tc>
      </w:tr>
      <w:tr w:rsidR="00CA4411" w:rsidRPr="00CA4411" w14:paraId="015BD4DD" w14:textId="77777777" w:rsidTr="003B2996">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358F536A"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More information </w:t>
            </w:r>
          </w:p>
        </w:tc>
        <w:tc>
          <w:tcPr>
            <w:tcW w:w="0" w:type="dxa"/>
          </w:tcPr>
          <w:p w14:paraId="567FD6AF" w14:textId="0F54DB32" w:rsidR="00CA4411" w:rsidRPr="00CA4411" w:rsidRDefault="00853142"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hyperlink r:id="rId108" w:history="1">
              <w:r w:rsidR="00CA4411" w:rsidRPr="000A028B">
                <w:rPr>
                  <w:rStyle w:val="Hyperlink"/>
                  <w:rFonts w:cs="Arial"/>
                  <w:kern w:val="0"/>
                  <w:sz w:val="22"/>
                  <w:szCs w:val="22"/>
                  <w14:ligatures w14:val="none"/>
                </w:rPr>
                <w:t xml:space="preserve">ttango.com.au </w:t>
              </w:r>
            </w:hyperlink>
          </w:p>
        </w:tc>
      </w:tr>
    </w:tbl>
    <w:p w14:paraId="0AEE08F4" w14:textId="0F425C50" w:rsidR="00BA5D0A" w:rsidRDefault="00BD0E27">
      <w:pPr>
        <w:rPr>
          <w:rFonts w:asciiTheme="minorHAnsi" w:eastAsiaTheme="majorEastAsia" w:hAnsiTheme="minorHAnsi" w:cs="Arial"/>
          <w:b/>
          <w:color w:val="000000" w:themeColor="text1"/>
          <w:sz w:val="22"/>
          <w:szCs w:val="22"/>
        </w:rPr>
      </w:pPr>
      <w:r>
        <w:rPr>
          <w:rFonts w:cs="Arial"/>
        </w:rPr>
        <w:br w:type="page"/>
      </w:r>
    </w:p>
    <w:p w14:paraId="11AA508B" w14:textId="7227B518" w:rsidR="00CA4411" w:rsidRPr="006669CB" w:rsidRDefault="00420035" w:rsidP="006669CB">
      <w:pPr>
        <w:pStyle w:val="Heading2"/>
        <w:rPr>
          <w:rFonts w:ascii="Arial" w:hAnsi="Arial" w:cs="Arial"/>
          <w:b w:val="0"/>
        </w:rPr>
      </w:pPr>
      <w:bookmarkStart w:id="167" w:name="_Toc163737203"/>
      <w:r>
        <w:rPr>
          <w:rFonts w:ascii="Arial" w:hAnsi="Arial" w:cs="Arial"/>
          <w:sz w:val="28"/>
          <w:szCs w:val="28"/>
        </w:rPr>
        <w:lastRenderedPageBreak/>
        <w:t>Equity and access</w:t>
      </w:r>
      <w:bookmarkEnd w:id="167"/>
      <w:r w:rsidR="00CA4411" w:rsidRPr="00671AC1">
        <w:rPr>
          <w:rFonts w:ascii="Arial" w:hAnsi="Arial" w:cs="Arial"/>
          <w:sz w:val="28"/>
          <w:szCs w:val="28"/>
        </w:rPr>
        <w:t xml:space="preserve"> </w:t>
      </w:r>
    </w:p>
    <w:tbl>
      <w:tblPr>
        <w:tblStyle w:val="GridTable1Light"/>
        <w:tblW w:w="9843" w:type="dxa"/>
        <w:tblBorders>
          <w:top w:val="single" w:sz="18" w:space="0" w:color="FF9F1C"/>
          <w:left w:val="single" w:sz="18" w:space="0" w:color="FF9F1C"/>
          <w:bottom w:val="single" w:sz="18" w:space="0" w:color="FF9F1C"/>
          <w:right w:val="single" w:sz="18" w:space="0" w:color="FF9F1C"/>
          <w:insideH w:val="single" w:sz="8" w:space="0" w:color="FF9F1C"/>
          <w:insideV w:val="none" w:sz="0" w:space="0" w:color="auto"/>
        </w:tblBorders>
        <w:tblCellMar>
          <w:left w:w="142" w:type="dxa"/>
          <w:right w:w="142" w:type="dxa"/>
        </w:tblCellMar>
        <w:tblLook w:val="04A0" w:firstRow="1" w:lastRow="0" w:firstColumn="1" w:lastColumn="0" w:noHBand="0" w:noVBand="1"/>
      </w:tblPr>
      <w:tblGrid>
        <w:gridCol w:w="2818"/>
        <w:gridCol w:w="7025"/>
      </w:tblGrid>
      <w:tr w:rsidR="00865DBB" w:rsidRPr="00CA4411" w14:paraId="2848A2DF" w14:textId="77777777" w:rsidTr="00C22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2"/>
            <w:tcBorders>
              <w:top w:val="single" w:sz="18" w:space="0" w:color="FF9F1C"/>
              <w:bottom w:val="nil"/>
            </w:tcBorders>
            <w:shd w:val="clear" w:color="auto" w:fill="F7CAAC" w:themeFill="accent2" w:themeFillTint="66"/>
          </w:tcPr>
          <w:p w14:paraId="3E9D0153" w14:textId="72544A29" w:rsidR="00BE6E28" w:rsidRPr="006362EB" w:rsidRDefault="008B43F1" w:rsidP="00C222C3">
            <w:pPr>
              <w:pStyle w:val="Heading3"/>
              <w:numPr>
                <w:ilvl w:val="0"/>
                <w:numId w:val="0"/>
              </w:numPr>
              <w:ind w:left="720" w:hanging="720"/>
              <w:rPr>
                <w:rFonts w:cs="Arial"/>
                <w:b/>
              </w:rPr>
            </w:pPr>
            <w:bookmarkStart w:id="168" w:name="_Case_study:_Providing"/>
            <w:bookmarkStart w:id="169" w:name="_Toc148613984"/>
            <w:bookmarkStart w:id="170" w:name="_Toc150160985"/>
            <w:bookmarkEnd w:id="168"/>
            <w:r>
              <w:rPr>
                <w:rFonts w:ascii="ZWAdobeF" w:hAnsi="ZWAdobeF" w:cs="ZWAdobeF"/>
                <w:color w:val="auto"/>
                <w:sz w:val="2"/>
                <w:szCs w:val="2"/>
              </w:rPr>
              <w:t>6B</w:t>
            </w:r>
            <w:r w:rsidR="00BE6E28" w:rsidRPr="00C222C3">
              <w:rPr>
                <w:rFonts w:ascii="Arial" w:hAnsi="Arial" w:cs="Arial"/>
              </w:rPr>
              <w:t>Case study: Providing a safe space: Leading a trans-affirming sexual health service</w:t>
            </w:r>
            <w:bookmarkEnd w:id="169"/>
            <w:bookmarkEnd w:id="170"/>
          </w:p>
        </w:tc>
      </w:tr>
      <w:tr w:rsidR="00865DBB" w:rsidRPr="00CA4411" w14:paraId="3803B369" w14:textId="77777777" w:rsidTr="00C222C3">
        <w:tc>
          <w:tcPr>
            <w:cnfStyle w:val="001000000000" w:firstRow="0" w:lastRow="0" w:firstColumn="1" w:lastColumn="0" w:oddVBand="0" w:evenVBand="0" w:oddHBand="0" w:evenHBand="0" w:firstRowFirstColumn="0" w:firstRowLastColumn="0" w:lastRowFirstColumn="0" w:lastRowLastColumn="0"/>
            <w:tcW w:w="2818" w:type="dxa"/>
            <w:tcBorders>
              <w:top w:val="nil"/>
            </w:tcBorders>
            <w:shd w:val="clear" w:color="auto" w:fill="FBE4D5" w:themeFill="accent2" w:themeFillTint="33"/>
          </w:tcPr>
          <w:p w14:paraId="059D1710"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Location</w:t>
            </w:r>
          </w:p>
        </w:tc>
        <w:tc>
          <w:tcPr>
            <w:tcW w:w="7025" w:type="dxa"/>
            <w:tcBorders>
              <w:top w:val="nil"/>
            </w:tcBorders>
          </w:tcPr>
          <w:p w14:paraId="768A7050" w14:textId="77777777" w:rsidR="00CA4411" w:rsidRPr="00CA4411" w:rsidRDefault="00CA4411"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Sydney, New South Wales</w:t>
            </w:r>
          </w:p>
        </w:tc>
      </w:tr>
      <w:tr w:rsidR="00865DBB" w:rsidRPr="00CA4411" w14:paraId="4960D872" w14:textId="77777777" w:rsidTr="00C222C3">
        <w:tc>
          <w:tcPr>
            <w:cnfStyle w:val="001000000000" w:firstRow="0" w:lastRow="0" w:firstColumn="1" w:lastColumn="0" w:oddVBand="0" w:evenVBand="0" w:oddHBand="0" w:evenHBand="0" w:firstRowFirstColumn="0" w:firstRowLastColumn="0" w:lastRowFirstColumn="0" w:lastRowLastColumn="0"/>
            <w:tcW w:w="2818" w:type="dxa"/>
            <w:shd w:val="clear" w:color="auto" w:fill="FBE4D5" w:themeFill="accent2" w:themeFillTint="33"/>
          </w:tcPr>
          <w:p w14:paraId="010690D9"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Organisation</w:t>
            </w:r>
          </w:p>
        </w:tc>
        <w:tc>
          <w:tcPr>
            <w:tcW w:w="7025" w:type="dxa"/>
            <w:shd w:val="clear" w:color="auto" w:fill="auto"/>
          </w:tcPr>
          <w:p w14:paraId="73EF962B" w14:textId="77777777" w:rsidR="00CA4411" w:rsidRPr="00CA4411" w:rsidRDefault="00CA4411"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t150, Albion Centre</w:t>
            </w:r>
          </w:p>
        </w:tc>
      </w:tr>
      <w:tr w:rsidR="00865DBB" w:rsidRPr="00CA4411" w14:paraId="5763CABA" w14:textId="77777777" w:rsidTr="00C222C3">
        <w:tc>
          <w:tcPr>
            <w:cnfStyle w:val="001000000000" w:firstRow="0" w:lastRow="0" w:firstColumn="1" w:lastColumn="0" w:oddVBand="0" w:evenVBand="0" w:oddHBand="0" w:evenHBand="0" w:firstRowFirstColumn="0" w:firstRowLastColumn="0" w:lastRowFirstColumn="0" w:lastRowLastColumn="0"/>
            <w:tcW w:w="2818" w:type="dxa"/>
            <w:shd w:val="clear" w:color="auto" w:fill="FBE4D5" w:themeFill="accent2" w:themeFillTint="33"/>
          </w:tcPr>
          <w:p w14:paraId="235C774A"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Strategy outcomes</w:t>
            </w:r>
          </w:p>
        </w:tc>
        <w:tc>
          <w:tcPr>
            <w:tcW w:w="7025" w:type="dxa"/>
            <w:shd w:val="clear" w:color="auto" w:fill="auto"/>
          </w:tcPr>
          <w:p w14:paraId="310D18F8" w14:textId="715B60F9" w:rsidR="00E60928" w:rsidRPr="00CA4411" w:rsidRDefault="00E60928" w:rsidP="008B43F1">
            <w:pPr>
              <w:pStyle w:val="BodyText"/>
              <w:numPr>
                <w:ilvl w:val="0"/>
                <w:numId w:val="20"/>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Goal 1: Reduce morbidity and complications from STI in Australia by scaling up evidence-based interventions</w:t>
            </w:r>
            <w:r w:rsidRPr="00CA4411">
              <w:rPr>
                <w:rFonts w:cs="Arial"/>
                <w:color w:val="000000" w:themeColor="text1"/>
                <w:kern w:val="0"/>
                <w:sz w:val="22"/>
                <w:szCs w:val="22"/>
                <w14:ligatures w14:val="none"/>
              </w:rPr>
              <w:t xml:space="preserve">. </w:t>
            </w:r>
          </w:p>
          <w:p w14:paraId="2D591E9C" w14:textId="0B41D144" w:rsidR="00CA4411" w:rsidRPr="003B2996" w:rsidRDefault="00CA4411" w:rsidP="008B43F1">
            <w:pPr>
              <w:pStyle w:val="BodyText"/>
              <w:numPr>
                <w:ilvl w:val="0"/>
                <w:numId w:val="20"/>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 xml:space="preserve">Goal </w:t>
            </w:r>
            <w:r w:rsidR="00C0100E" w:rsidRPr="003B2996">
              <w:rPr>
                <w:rFonts w:cs="Arial"/>
                <w:color w:val="000000" w:themeColor="text1"/>
                <w:sz w:val="22"/>
                <w:szCs w:val="22"/>
              </w:rPr>
              <w:t>3</w:t>
            </w:r>
            <w:r w:rsidRPr="003B2996">
              <w:rPr>
                <w:rFonts w:cs="Arial"/>
                <w:color w:val="000000" w:themeColor="text1"/>
                <w:sz w:val="22"/>
                <w:szCs w:val="22"/>
              </w:rPr>
              <w:t xml:space="preserve">: Increase awareness and understanding of STI as part of sexual </w:t>
            </w:r>
            <w:r w:rsidR="002C683C" w:rsidRPr="003B2996">
              <w:rPr>
                <w:rFonts w:cs="Arial"/>
                <w:color w:val="000000" w:themeColor="text1"/>
                <w:sz w:val="22"/>
                <w:szCs w:val="22"/>
              </w:rPr>
              <w:t xml:space="preserve">and reproductive </w:t>
            </w:r>
            <w:r w:rsidRPr="003B2996">
              <w:rPr>
                <w:rFonts w:cs="Arial"/>
                <w:color w:val="000000" w:themeColor="text1"/>
                <w:sz w:val="22"/>
                <w:szCs w:val="22"/>
              </w:rPr>
              <w:t xml:space="preserve">health for all in Australia. </w:t>
            </w:r>
          </w:p>
          <w:p w14:paraId="20041344" w14:textId="78B9E191" w:rsidR="00CA4411" w:rsidRPr="00CA4411" w:rsidRDefault="00CA4411" w:rsidP="008B43F1">
            <w:pPr>
              <w:pStyle w:val="BodyText"/>
              <w:numPr>
                <w:ilvl w:val="0"/>
                <w:numId w:val="20"/>
              </w:numPr>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3B2996">
              <w:rPr>
                <w:rFonts w:cs="Arial"/>
                <w:color w:val="000000" w:themeColor="text1"/>
                <w:sz w:val="22"/>
                <w:szCs w:val="22"/>
              </w:rPr>
              <w:t>Goal 4: Eliminate the negative impact of stigma, discrimination, and legal and human rights issues on people’s health</w:t>
            </w:r>
            <w:r w:rsidR="00E60928" w:rsidRPr="003B2996">
              <w:rPr>
                <w:rFonts w:cs="Arial"/>
                <w:color w:val="000000" w:themeColor="text1"/>
                <w:sz w:val="22"/>
                <w:szCs w:val="22"/>
              </w:rPr>
              <w:t>.</w:t>
            </w:r>
          </w:p>
        </w:tc>
      </w:tr>
      <w:tr w:rsidR="00865DBB" w:rsidRPr="00CA4411" w14:paraId="0CFC4249" w14:textId="77777777" w:rsidTr="00C222C3">
        <w:tc>
          <w:tcPr>
            <w:cnfStyle w:val="001000000000" w:firstRow="0" w:lastRow="0" w:firstColumn="1" w:lastColumn="0" w:oddVBand="0" w:evenVBand="0" w:oddHBand="0" w:evenHBand="0" w:firstRowFirstColumn="0" w:firstRowLastColumn="0" w:lastRowFirstColumn="0" w:lastRowLastColumn="0"/>
            <w:tcW w:w="2818" w:type="dxa"/>
            <w:shd w:val="clear" w:color="auto" w:fill="FBE4D5" w:themeFill="accent2" w:themeFillTint="33"/>
          </w:tcPr>
          <w:p w14:paraId="2A653629"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Priority populations</w:t>
            </w:r>
          </w:p>
        </w:tc>
        <w:tc>
          <w:tcPr>
            <w:tcW w:w="7025" w:type="dxa"/>
            <w:shd w:val="clear" w:color="auto" w:fill="auto"/>
          </w:tcPr>
          <w:p w14:paraId="07DB8EA7" w14:textId="77777777" w:rsidR="00CA4411" w:rsidRPr="00CA4411" w:rsidRDefault="00CA4411"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r w:rsidRPr="00CA4411">
              <w:rPr>
                <w:rFonts w:cs="Arial"/>
                <w:color w:val="000000" w:themeColor="text1"/>
                <w:kern w:val="0"/>
                <w:sz w:val="22"/>
                <w:szCs w:val="22"/>
                <w14:ligatures w14:val="none"/>
              </w:rPr>
              <w:t xml:space="preserve">People who are trans and gender diverse </w:t>
            </w:r>
          </w:p>
        </w:tc>
      </w:tr>
      <w:tr w:rsidR="00CA4411" w:rsidRPr="00CA4411" w14:paraId="5FA4DABC" w14:textId="77777777" w:rsidTr="00C222C3">
        <w:tc>
          <w:tcPr>
            <w:cnfStyle w:val="001000000000" w:firstRow="0" w:lastRow="0" w:firstColumn="1" w:lastColumn="0" w:oddVBand="0" w:evenVBand="0" w:oddHBand="0" w:evenHBand="0" w:firstRowFirstColumn="0" w:firstRowLastColumn="0" w:lastRowFirstColumn="0" w:lastRowLastColumn="0"/>
            <w:tcW w:w="9843" w:type="dxa"/>
            <w:gridSpan w:val="2"/>
            <w:shd w:val="clear" w:color="auto" w:fill="auto"/>
          </w:tcPr>
          <w:p w14:paraId="4487A50A" w14:textId="77777777" w:rsidR="00CA4411" w:rsidRPr="00CA4411" w:rsidRDefault="00CA4411" w:rsidP="00671AC1">
            <w:pPr>
              <w:pStyle w:val="BodyText"/>
              <w:spacing w:before="120"/>
              <w:jc w:val="both"/>
              <w:rPr>
                <w:rFonts w:cs="Arial"/>
                <w:color w:val="000000" w:themeColor="text1"/>
                <w:kern w:val="0"/>
                <w:sz w:val="22"/>
                <w:szCs w:val="22"/>
                <w14:ligatures w14:val="none"/>
              </w:rPr>
            </w:pPr>
            <w:r w:rsidRPr="00CA4411">
              <w:rPr>
                <w:rFonts w:cs="Arial"/>
                <w:b w:val="0"/>
                <w:bCs w:val="0"/>
                <w:i/>
                <w:iCs/>
                <w:color w:val="000000" w:themeColor="text1"/>
                <w:kern w:val="0"/>
                <w:sz w:val="22"/>
                <w:szCs w:val="22"/>
                <w14:ligatures w14:val="none"/>
              </w:rPr>
              <w:t>‘The ability to feel safe and understood by staff, provided hormones and be able to get my tests and PrEP all in the one place is great.</w:t>
            </w:r>
            <w:r w:rsidRPr="00CA4411">
              <w:rPr>
                <w:rFonts w:cs="Arial"/>
                <w:b w:val="0"/>
                <w:bCs w:val="0"/>
                <w:color w:val="000000" w:themeColor="text1"/>
                <w:kern w:val="0"/>
                <w:sz w:val="22"/>
                <w:szCs w:val="22"/>
                <w14:ligatures w14:val="none"/>
              </w:rPr>
              <w:t>’</w:t>
            </w:r>
          </w:p>
          <w:p w14:paraId="22D34527"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t150 client</w:t>
            </w:r>
          </w:p>
          <w:p w14:paraId="0374FCA5" w14:textId="5AC3355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Established in 2018, t150, part of the Albion Centre in Surry Hills, Sydney, is Australia’s first publicly funded trans-specific sexual health and HIV service. Staffed by clinicians and a community peer, it provides free gender-affirming care alongside specialist sexual health and HIV care, testing and prevention. By providing a safe, dedicated clinical space, t150 works to improve the community’s access to services and healthcare engagement.</w:t>
            </w:r>
          </w:p>
          <w:p w14:paraId="1ECF0F49" w14:textId="4DA6AD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More than 50% of clients come from culturally and linguistically diverse populations, mainly in the Philippines and Thailand. In total, 33% are Medicare ineligible, presumably international students, overseas visitors or temporary visa holders, while 10% represent </w:t>
            </w:r>
            <w:r w:rsidR="009E5590" w:rsidRPr="009E5590">
              <w:rPr>
                <w:rFonts w:cs="Arial"/>
                <w:b w:val="0"/>
                <w:bCs w:val="0"/>
                <w:color w:val="000000" w:themeColor="text1"/>
                <w:kern w:val="0"/>
                <w:sz w:val="22"/>
                <w:szCs w:val="22"/>
                <w14:ligatures w14:val="none"/>
              </w:rPr>
              <w:t>Aboriginal and Torres Strait Islander</w:t>
            </w:r>
            <w:r w:rsidRPr="00CA4411">
              <w:rPr>
                <w:rFonts w:cs="Arial"/>
                <w:b w:val="0"/>
                <w:bCs w:val="0"/>
                <w:color w:val="000000" w:themeColor="text1"/>
                <w:kern w:val="0"/>
                <w:sz w:val="22"/>
                <w:szCs w:val="22"/>
                <w14:ligatures w14:val="none"/>
              </w:rPr>
              <w:t xml:space="preserve"> people.</w:t>
            </w:r>
          </w:p>
          <w:p w14:paraId="39135319" w14:textId="0DE22220"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Of the sexually active clients seen in the first two years, 25% had never undergone sexual health or HIV testing, and 10% were diagnosed with at least one STI in their first 12 months. A total of 38% of trans women commenced PrEP use within six months of regular clinic attendance.</w:t>
            </w:r>
          </w:p>
          <w:p w14:paraId="650FF6E0" w14:textId="3743DF19"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There are challenges, Maggie Smith, Clinical Nurse Consultant at t150, said: ‘There isn’t enough mental health support and case management with our complex cohort. Plus, word of mouth within the community has increased referrals to t150 more than we ever could have predicted – our waiting list is our current biggest challenge.</w:t>
            </w:r>
          </w:p>
          <w:p w14:paraId="0C980208"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‘Ideally, we would like to increase the number of clinics to meet demand and expand the service to include case management and mental health support.’  </w:t>
            </w:r>
          </w:p>
          <w:p w14:paraId="1D1C3EE0" w14:textId="6CD73D19" w:rsidR="00CA4411" w:rsidRPr="00CA4411" w:rsidRDefault="00CA4411" w:rsidP="00671AC1">
            <w:pPr>
              <w:pStyle w:val="BodyText"/>
              <w:spacing w:before="120"/>
              <w:jc w:val="both"/>
              <w:rPr>
                <w:rFonts w:cs="Arial"/>
                <w:color w:val="000000" w:themeColor="text1"/>
                <w:kern w:val="0"/>
                <w:sz w:val="22"/>
                <w:szCs w:val="22"/>
                <w14:ligatures w14:val="none"/>
              </w:rPr>
            </w:pPr>
            <w:r w:rsidRPr="00CA4411">
              <w:rPr>
                <w:rFonts w:cs="Arial"/>
                <w:b w:val="0"/>
                <w:bCs w:val="0"/>
                <w:color w:val="000000" w:themeColor="text1"/>
                <w:kern w:val="0"/>
                <w:sz w:val="22"/>
                <w:szCs w:val="22"/>
                <w14:ligatures w14:val="none"/>
              </w:rPr>
              <w:t>For people who want to establish a trans-affirming sexual health service, Dr Melissa Kelly, Medical Lead at t150, advised: ‘Start by collaborating with community, identify the gaps, develop</w:t>
            </w:r>
            <w:r w:rsidR="00742401">
              <w:rPr>
                <w:rFonts w:cs="Arial"/>
                <w:b w:val="0"/>
                <w:bCs w:val="0"/>
                <w:color w:val="000000" w:themeColor="text1"/>
                <w:kern w:val="0"/>
                <w:sz w:val="22"/>
                <w:szCs w:val="22"/>
                <w14:ligatures w14:val="none"/>
              </w:rPr>
              <w:t>,</w:t>
            </w:r>
            <w:r w:rsidRPr="00CA4411">
              <w:rPr>
                <w:rFonts w:cs="Arial"/>
                <w:b w:val="0"/>
                <w:bCs w:val="0"/>
                <w:color w:val="000000" w:themeColor="text1"/>
                <w:kern w:val="0"/>
                <w:sz w:val="22"/>
                <w:szCs w:val="22"/>
                <w14:ligatures w14:val="none"/>
              </w:rPr>
              <w:t xml:space="preserve"> or strengthen ties with primary health, and collaborate with any local trans services. A service does not necessarily need to be a trans-only space. Ask communities what they want, co-design and collaborate. And ensure all staff have trans health education and training – the reception team will make or break your service.’</w:t>
            </w:r>
          </w:p>
        </w:tc>
      </w:tr>
      <w:tr w:rsidR="00865DBB" w:rsidRPr="00CA4411" w14:paraId="17BFECD9" w14:textId="77777777" w:rsidTr="00C222C3">
        <w:tc>
          <w:tcPr>
            <w:cnfStyle w:val="001000000000" w:firstRow="0" w:lastRow="0" w:firstColumn="1" w:lastColumn="0" w:oddVBand="0" w:evenVBand="0" w:oddHBand="0" w:evenHBand="0" w:firstRowFirstColumn="0" w:firstRowLastColumn="0" w:lastRowFirstColumn="0" w:lastRowLastColumn="0"/>
            <w:tcW w:w="2818" w:type="dxa"/>
            <w:shd w:val="clear" w:color="auto" w:fill="FBE4D5" w:themeFill="accent2" w:themeFillTint="33"/>
          </w:tcPr>
          <w:p w14:paraId="52684373" w14:textId="77777777" w:rsidR="00CA4411" w:rsidRPr="00CA4411" w:rsidRDefault="00CA4411" w:rsidP="00671AC1">
            <w:pPr>
              <w:pStyle w:val="BodyText"/>
              <w:spacing w:before="120"/>
              <w:jc w:val="both"/>
              <w:rPr>
                <w:rFonts w:cs="Arial"/>
                <w:b w:val="0"/>
                <w:bCs w:val="0"/>
                <w:color w:val="000000" w:themeColor="text1"/>
                <w:kern w:val="0"/>
                <w:sz w:val="22"/>
                <w:szCs w:val="22"/>
                <w14:ligatures w14:val="none"/>
              </w:rPr>
            </w:pPr>
            <w:r w:rsidRPr="00CA4411">
              <w:rPr>
                <w:rFonts w:cs="Arial"/>
                <w:b w:val="0"/>
                <w:bCs w:val="0"/>
                <w:color w:val="000000" w:themeColor="text1"/>
                <w:kern w:val="0"/>
                <w:sz w:val="22"/>
                <w:szCs w:val="22"/>
                <w14:ligatures w14:val="none"/>
              </w:rPr>
              <w:t xml:space="preserve">More information </w:t>
            </w:r>
          </w:p>
        </w:tc>
        <w:tc>
          <w:tcPr>
            <w:tcW w:w="7025" w:type="dxa"/>
            <w:shd w:val="clear" w:color="auto" w:fill="auto"/>
          </w:tcPr>
          <w:p w14:paraId="04F074DD" w14:textId="77777777" w:rsidR="00CA4411" w:rsidRPr="00CA4411" w:rsidRDefault="00853142" w:rsidP="00671AC1">
            <w:pPr>
              <w:pStyle w:val="BodyText"/>
              <w:spacing w:before="120"/>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0"/>
                <w:sz w:val="22"/>
                <w:szCs w:val="22"/>
                <w14:ligatures w14:val="none"/>
              </w:rPr>
            </w:pPr>
            <w:hyperlink r:id="rId109" w:history="1">
              <w:r w:rsidR="00CA4411" w:rsidRPr="00CA4411">
                <w:rPr>
                  <w:rStyle w:val="Hyperlink"/>
                  <w:rFonts w:cs="Arial"/>
                  <w:sz w:val="22"/>
                  <w:szCs w:val="22"/>
                </w:rPr>
                <w:t>http://thealbioncentre.org.au/clinical-services/t150/</w:t>
              </w:r>
            </w:hyperlink>
            <w:r w:rsidR="00CA4411" w:rsidRPr="00CA4411">
              <w:rPr>
                <w:rFonts w:cs="Arial"/>
                <w:color w:val="000000" w:themeColor="text1"/>
                <w:kern w:val="0"/>
                <w:sz w:val="22"/>
                <w:szCs w:val="22"/>
                <w14:ligatures w14:val="none"/>
              </w:rPr>
              <w:t xml:space="preserve"> </w:t>
            </w:r>
          </w:p>
        </w:tc>
      </w:tr>
    </w:tbl>
    <w:p w14:paraId="47772708" w14:textId="77777777" w:rsidR="00CA4411" w:rsidRDefault="00CA4411">
      <w:pPr>
        <w:rPr>
          <w:rFonts w:cs="Arial"/>
          <w:color w:val="000000" w:themeColor="text1"/>
          <w:sz w:val="22"/>
          <w:szCs w:val="22"/>
        </w:rPr>
      </w:pPr>
      <w:bookmarkStart w:id="171" w:name="_Appendix_B:_"/>
      <w:bookmarkEnd w:id="171"/>
      <w:r>
        <w:rPr>
          <w:rFonts w:cs="Arial"/>
          <w:color w:val="000000" w:themeColor="text1"/>
          <w:sz w:val="22"/>
          <w:szCs w:val="22"/>
        </w:rPr>
        <w:br w:type="page"/>
      </w:r>
    </w:p>
    <w:p w14:paraId="7EE399BE" w14:textId="4B4C12AC" w:rsidR="001D4D6D" w:rsidRPr="00DD0FD9" w:rsidRDefault="00FE1D8A" w:rsidP="003B2996">
      <w:pPr>
        <w:pStyle w:val="Heading1"/>
        <w:numPr>
          <w:ilvl w:val="0"/>
          <w:numId w:val="0"/>
        </w:numPr>
      </w:pPr>
      <w:bookmarkStart w:id="172" w:name="_Toc150160987"/>
      <w:bookmarkStart w:id="173" w:name="_Toc163737205"/>
      <w:r w:rsidRPr="00DD0FD9">
        <w:lastRenderedPageBreak/>
        <w:t>R</w:t>
      </w:r>
      <w:r w:rsidR="001D4D6D" w:rsidRPr="00DD0FD9">
        <w:t>eferences</w:t>
      </w:r>
      <w:bookmarkEnd w:id="132"/>
      <w:bookmarkEnd w:id="133"/>
      <w:bookmarkEnd w:id="172"/>
      <w:bookmarkEnd w:id="173"/>
      <w:r w:rsidR="001D4D6D" w:rsidRPr="00DD0FD9">
        <w:t xml:space="preserve"> </w:t>
      </w:r>
      <w:bookmarkEnd w:id="134"/>
    </w:p>
    <w:sectPr w:rsidR="001D4D6D" w:rsidRPr="00DD0FD9" w:rsidSect="004A5946">
      <w:headerReference w:type="default" r:id="rId110"/>
      <w:endnotePr>
        <w:numFmt w:val="decimal"/>
      </w:endnotePr>
      <w:pgSz w:w="11900" w:h="16840"/>
      <w:pgMar w:top="709"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5134D" w14:textId="77777777" w:rsidR="00E71778" w:rsidRDefault="00E71778" w:rsidP="00C16258">
      <w:r>
        <w:separator/>
      </w:r>
    </w:p>
  </w:endnote>
  <w:endnote w:type="continuationSeparator" w:id="0">
    <w:p w14:paraId="3389EED0" w14:textId="77777777" w:rsidR="00E71778" w:rsidRDefault="00E71778" w:rsidP="00C16258">
      <w:r>
        <w:continuationSeparator/>
      </w:r>
    </w:p>
  </w:endnote>
  <w:endnote w:type="continuationNotice" w:id="1">
    <w:p w14:paraId="5D16FB6A" w14:textId="77777777" w:rsidR="00E71778" w:rsidRDefault="00E71778"/>
  </w:endnote>
  <w:endnote w:id="2">
    <w:p w14:paraId="3163DF04" w14:textId="77777777" w:rsidR="00894F38" w:rsidRPr="00687F30" w:rsidRDefault="00894F38">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World Health Organization. (2023). </w:t>
      </w:r>
      <w:r w:rsidRPr="00687F30">
        <w:rPr>
          <w:rFonts w:asciiTheme="minorHAnsi" w:hAnsiTheme="minorHAnsi" w:cstheme="minorHAnsi"/>
          <w:i/>
          <w:iCs/>
        </w:rPr>
        <w:t xml:space="preserve">Antimicrobial resistance. </w:t>
      </w:r>
      <w:r w:rsidRPr="00687F30">
        <w:rPr>
          <w:rFonts w:asciiTheme="minorHAnsi" w:hAnsiTheme="minorHAnsi" w:cstheme="minorHAnsi"/>
        </w:rPr>
        <w:t xml:space="preserve">Accessed from: </w:t>
      </w:r>
      <w:hyperlink r:id="rId1" w:history="1">
        <w:r w:rsidRPr="00687F30">
          <w:rPr>
            <w:rStyle w:val="Hyperlink"/>
            <w:rFonts w:asciiTheme="minorHAnsi" w:hAnsiTheme="minorHAnsi" w:cstheme="minorHAnsi"/>
          </w:rPr>
          <w:t>https://www.who.int/news-room/fact-sheets/detail/antimicrobial-resistance</w:t>
        </w:r>
      </w:hyperlink>
    </w:p>
  </w:endnote>
  <w:endnote w:id="3">
    <w:p w14:paraId="5F6F7CE2" w14:textId="77777777" w:rsidR="00894F38" w:rsidRPr="00687F30" w:rsidRDefault="00894F38">
      <w:pPr>
        <w:pStyle w:val="EndnoteText"/>
        <w:rPr>
          <w:rFonts w:asciiTheme="minorHAnsi" w:hAnsiTheme="minorHAnsi" w:cstheme="minorHAnsi"/>
        </w:rPr>
      </w:pPr>
      <w:r>
        <w:rPr>
          <w:rStyle w:val="EndnoteReference"/>
        </w:rPr>
        <w:endnoteRef/>
      </w:r>
      <w:r>
        <w:t xml:space="preserve"> </w:t>
      </w:r>
      <w:r w:rsidRPr="00687F30">
        <w:rPr>
          <w:rFonts w:asciiTheme="minorHAnsi" w:hAnsiTheme="minorHAnsi" w:cstheme="minorHAnsi"/>
        </w:rPr>
        <w:t xml:space="preserve">Aged Care Quality and Safety Commission. (2023). </w:t>
      </w:r>
      <w:r w:rsidRPr="00687F30">
        <w:rPr>
          <w:rFonts w:asciiTheme="minorHAnsi" w:hAnsiTheme="minorHAnsi" w:cstheme="minorHAnsi"/>
          <w:i/>
          <w:iCs/>
        </w:rPr>
        <w:t>Antimicrobial stewardship</w:t>
      </w:r>
      <w:r w:rsidRPr="00687F30">
        <w:rPr>
          <w:rFonts w:asciiTheme="minorHAnsi" w:hAnsiTheme="minorHAnsi" w:cstheme="minorHAnsi"/>
        </w:rPr>
        <w:t xml:space="preserve">, Accessed from: </w:t>
      </w:r>
      <w:hyperlink r:id="rId2" w:anchor=":~:text=Antimicrobial%20stewardship%20(AMS)%20is%20the,practice%20antimicrobial%20prescribing%20and%20use" w:history="1">
        <w:r w:rsidRPr="00687F30">
          <w:rPr>
            <w:rStyle w:val="Hyperlink"/>
            <w:rFonts w:asciiTheme="minorHAnsi" w:hAnsiTheme="minorHAnsi" w:cstheme="minorHAnsi"/>
          </w:rPr>
          <w:t>https://www.agedcarequality.gov.au/antimicrobial-stewardship#:~:text=Antimicrobial%20stewardship%20(AMS)%20is%20the,practice%20antimicrobial%20prescribing%20and%20use</w:t>
        </w:r>
      </w:hyperlink>
    </w:p>
  </w:endnote>
  <w:endnote w:id="4">
    <w:p w14:paraId="51E9B5F5" w14:textId="07EB9076" w:rsidR="00894F38" w:rsidRPr="00560122" w:rsidRDefault="00894F38">
      <w:pPr>
        <w:pStyle w:val="EndnoteText"/>
        <w:rPr>
          <w:rFonts w:asciiTheme="minorHAnsi" w:hAnsiTheme="minorHAnsi" w:cstheme="minorHAnsi"/>
        </w:rPr>
      </w:pPr>
      <w:r w:rsidRPr="00560122">
        <w:rPr>
          <w:rStyle w:val="EndnoteReference"/>
          <w:rFonts w:asciiTheme="minorHAnsi" w:hAnsiTheme="minorHAnsi" w:cstheme="minorHAnsi"/>
        </w:rPr>
        <w:endnoteRef/>
      </w:r>
      <w:r w:rsidRPr="00560122">
        <w:rPr>
          <w:rFonts w:asciiTheme="minorHAnsi" w:hAnsiTheme="minorHAnsi" w:cstheme="minorHAnsi"/>
        </w:rPr>
        <w:t xml:space="preserve"> Victorian Government</w:t>
      </w:r>
      <w:r>
        <w:rPr>
          <w:rFonts w:asciiTheme="minorHAnsi" w:hAnsiTheme="minorHAnsi" w:cstheme="minorHAnsi"/>
        </w:rPr>
        <w:t>. (2022).</w:t>
      </w:r>
      <w:r>
        <w:rPr>
          <w:rFonts w:asciiTheme="minorHAnsi" w:hAnsiTheme="minorHAnsi" w:cstheme="minorHAnsi"/>
          <w:i/>
          <w:iCs/>
        </w:rPr>
        <w:t xml:space="preserve"> Definitions and key terms.</w:t>
      </w:r>
      <w:r>
        <w:rPr>
          <w:rFonts w:asciiTheme="minorHAnsi" w:hAnsiTheme="minorHAnsi" w:cstheme="minorHAnsi"/>
        </w:rPr>
        <w:t xml:space="preserve"> Accessed from:</w:t>
      </w:r>
      <w:r w:rsidRPr="00560122">
        <w:rPr>
          <w:rFonts w:asciiTheme="minorHAnsi" w:hAnsiTheme="minorHAnsi" w:cstheme="minorHAnsi"/>
        </w:rPr>
        <w:t xml:space="preserve"> </w:t>
      </w:r>
      <w:hyperlink r:id="rId3" w:history="1">
        <w:r w:rsidRPr="00560122">
          <w:rPr>
            <w:rStyle w:val="Hyperlink"/>
            <w:rFonts w:asciiTheme="minorHAnsi" w:hAnsiTheme="minorHAnsi" w:cstheme="minorHAnsi"/>
          </w:rPr>
          <w:t>Definitions and key terms | vic.gov.au (www.vic.gov.au)</w:t>
        </w:r>
      </w:hyperlink>
    </w:p>
  </w:endnote>
  <w:endnote w:id="5">
    <w:p w14:paraId="5316E189" w14:textId="77777777" w:rsidR="00894F38" w:rsidRPr="003F5976" w:rsidRDefault="00894F38">
      <w:pPr>
        <w:pStyle w:val="EndnoteText"/>
        <w:rPr>
          <w:lang w:val="en-NZ"/>
        </w:rPr>
      </w:pPr>
      <w:r>
        <w:rPr>
          <w:rStyle w:val="EndnoteReference"/>
        </w:rPr>
        <w:endnoteRef/>
      </w:r>
      <w:r>
        <w:t xml:space="preserve"> </w:t>
      </w:r>
      <w:r w:rsidRPr="003F5976">
        <w:rPr>
          <w:rFonts w:asciiTheme="minorHAnsi" w:hAnsiTheme="minorHAnsi" w:cstheme="minorHAnsi"/>
          <w:lang w:val="en-NZ"/>
        </w:rPr>
        <w:t xml:space="preserve">Australian Human Right Commission. </w:t>
      </w:r>
      <w:r w:rsidRPr="003F5976">
        <w:rPr>
          <w:rFonts w:asciiTheme="minorHAnsi" w:hAnsiTheme="minorHAnsi" w:cstheme="minorHAnsi"/>
          <w:i/>
          <w:iCs/>
          <w:lang w:val="en-NZ"/>
        </w:rPr>
        <w:t xml:space="preserve">Terminology. </w:t>
      </w:r>
      <w:r w:rsidRPr="003F5976">
        <w:rPr>
          <w:rFonts w:asciiTheme="minorHAnsi" w:hAnsiTheme="minorHAnsi" w:cstheme="minorHAnsi"/>
          <w:lang w:val="en-NZ"/>
        </w:rPr>
        <w:t xml:space="preserve">Accessed from:  </w:t>
      </w:r>
      <w:hyperlink r:id="rId4" w:anchor=":~:text=Cisgender%3A%20Refers%20to%20people%20who,at%20birth%20(see%20Transgender)" w:history="1">
        <w:r w:rsidRPr="003F5976">
          <w:rPr>
            <w:rStyle w:val="Hyperlink"/>
            <w:rFonts w:asciiTheme="minorHAnsi" w:hAnsiTheme="minorHAnsi" w:cstheme="minorHAnsi"/>
            <w:lang w:val="en-NZ"/>
          </w:rPr>
          <w:t>https://humanrights.gov.au/our-work/lgbti/terminology#:~:text=Cisgender%3A%20Refers%20to%20people%20who,at%20birth%20(see%20Transgender)</w:t>
        </w:r>
      </w:hyperlink>
      <w:r w:rsidRPr="00BA2C1D">
        <w:rPr>
          <w:lang w:val="en-NZ"/>
        </w:rPr>
        <w:t>.</w:t>
      </w:r>
    </w:p>
  </w:endnote>
  <w:endnote w:id="6">
    <w:p w14:paraId="2FD73324" w14:textId="435B4B41" w:rsidR="00894F38" w:rsidRPr="005E6C68" w:rsidRDefault="00894F38">
      <w:pPr>
        <w:pStyle w:val="EndnoteText"/>
      </w:pPr>
      <w:r>
        <w:rPr>
          <w:rStyle w:val="EndnoteReference"/>
        </w:rPr>
        <w:endnoteRef/>
      </w:r>
      <w:r>
        <w:t xml:space="preserve"> </w:t>
      </w:r>
      <w:r w:rsidRPr="00D96817">
        <w:rPr>
          <w:rFonts w:asciiTheme="minorHAnsi" w:hAnsiTheme="minorHAnsi" w:cstheme="minorHAnsi"/>
        </w:rPr>
        <w:t xml:space="preserve">Agency for clinical innovation. (2019). </w:t>
      </w:r>
      <w:r w:rsidRPr="00D96817">
        <w:rPr>
          <w:rFonts w:asciiTheme="minorHAnsi" w:hAnsiTheme="minorHAnsi" w:cstheme="minorHAnsi"/>
          <w:i/>
          <w:iCs/>
        </w:rPr>
        <w:t>A guide to Build Co-design Capability.</w:t>
      </w:r>
      <w:r w:rsidRPr="00D96817">
        <w:rPr>
          <w:rFonts w:asciiTheme="minorHAnsi" w:hAnsiTheme="minorHAnsi" w:cstheme="minorHAnsi"/>
        </w:rPr>
        <w:t xml:space="preserve">  NSW Government. Accessed from: </w:t>
      </w:r>
      <w:hyperlink r:id="rId5" w:history="1">
        <w:r w:rsidRPr="00055843">
          <w:rPr>
            <w:rStyle w:val="Hyperlink"/>
            <w:rFonts w:asciiTheme="minorHAnsi" w:hAnsiTheme="minorHAnsi" w:cstheme="minorHAnsi"/>
          </w:rPr>
          <w:t>https://aci.health.nsw.gov.au/__data/assets/pdf_file/0013/502240/Guide-Build-Codesign-Capability.pdf</w:t>
        </w:r>
      </w:hyperlink>
      <w:r>
        <w:rPr>
          <w:rFonts w:asciiTheme="minorHAnsi" w:hAnsiTheme="minorHAnsi" w:cstheme="minorHAnsi"/>
        </w:rPr>
        <w:t xml:space="preserve"> </w:t>
      </w:r>
      <w:r>
        <w:t xml:space="preserve"> </w:t>
      </w:r>
    </w:p>
  </w:endnote>
  <w:endnote w:id="7">
    <w:p w14:paraId="6DD1B4E8"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Wikipedia. (2023). </w:t>
      </w:r>
      <w:r w:rsidRPr="00687F30">
        <w:rPr>
          <w:rFonts w:asciiTheme="minorHAnsi" w:hAnsiTheme="minorHAnsi" w:cstheme="minorHAnsi"/>
          <w:i/>
          <w:iCs/>
          <w:lang w:val="en-NZ"/>
        </w:rPr>
        <w:t xml:space="preserve">Community leader. </w:t>
      </w:r>
      <w:r w:rsidRPr="00687F30">
        <w:rPr>
          <w:rFonts w:asciiTheme="minorHAnsi" w:hAnsiTheme="minorHAnsi" w:cstheme="minorHAnsi"/>
          <w:lang w:val="en-NZ"/>
        </w:rPr>
        <w:t xml:space="preserve">Accessed at </w:t>
      </w:r>
      <w:hyperlink r:id="rId6" w:anchor=":~:text=Community%20leadership%20is%20a%20specific,group%20leadership%2C%20voluntary%20or%20paid" w:history="1">
        <w:r w:rsidRPr="00687F30">
          <w:rPr>
            <w:rStyle w:val="Hyperlink"/>
            <w:rFonts w:asciiTheme="minorHAnsi" w:hAnsiTheme="minorHAnsi" w:cstheme="minorHAnsi"/>
            <w:lang w:val="en-NZ"/>
          </w:rPr>
          <w:t>https://en.wikipedia.org/wiki/Community_leader#:~:text=Community%20leadership%20is%20a%20specific,group%20leadership%2C%20voluntary%20or%20paid</w:t>
        </w:r>
      </w:hyperlink>
      <w:r w:rsidRPr="00687F30">
        <w:rPr>
          <w:rFonts w:asciiTheme="minorHAnsi" w:hAnsiTheme="minorHAnsi" w:cstheme="minorHAnsi"/>
          <w:lang w:val="en-NZ"/>
        </w:rPr>
        <w:t xml:space="preserve"> </w:t>
      </w:r>
    </w:p>
  </w:endnote>
  <w:endnote w:id="8">
    <w:p w14:paraId="21161767" w14:textId="77777777" w:rsidR="00894F38" w:rsidRPr="003D470A" w:rsidRDefault="00894F38" w:rsidP="003D470A">
      <w:pPr>
        <w:pStyle w:val="EndnoteText"/>
        <w:rPr>
          <w:rFonts w:asciiTheme="minorHAnsi" w:hAnsiTheme="minorHAnsi" w:cstheme="minorHAnsi"/>
          <w:b/>
          <w:bCs/>
          <w:lang w:val="en-NZ"/>
        </w:rPr>
      </w:pPr>
      <w:r>
        <w:rPr>
          <w:rStyle w:val="EndnoteReference"/>
        </w:rPr>
        <w:endnoteRef/>
      </w:r>
      <w:r>
        <w:t xml:space="preserve"> </w:t>
      </w:r>
      <w:r w:rsidRPr="003D470A">
        <w:rPr>
          <w:rFonts w:asciiTheme="minorHAnsi" w:hAnsiTheme="minorHAnsi" w:cstheme="minorHAnsi"/>
          <w:lang w:val="en-NZ"/>
        </w:rPr>
        <w:t xml:space="preserve">World Health Organization. </w:t>
      </w:r>
      <w:r w:rsidRPr="003D470A">
        <w:rPr>
          <w:rFonts w:asciiTheme="minorHAnsi" w:hAnsiTheme="minorHAnsi" w:cstheme="minorHAnsi"/>
          <w:i/>
          <w:iCs/>
          <w:lang w:val="en-NZ"/>
        </w:rPr>
        <w:t xml:space="preserve">Naming the coronavirus disease (COVID-19) and the virus that causes it. </w:t>
      </w:r>
      <w:r w:rsidRPr="003D470A">
        <w:rPr>
          <w:rFonts w:asciiTheme="minorHAnsi" w:hAnsiTheme="minorHAnsi" w:cstheme="minorHAnsi"/>
          <w:lang w:val="en-NZ"/>
        </w:rPr>
        <w:t xml:space="preserve">Accessed from: </w:t>
      </w:r>
    </w:p>
    <w:p w14:paraId="678C8C47" w14:textId="77777777" w:rsidR="00894F38" w:rsidRPr="003D470A" w:rsidRDefault="00894F38">
      <w:pPr>
        <w:pStyle w:val="EndnoteText"/>
        <w:rPr>
          <w:rFonts w:asciiTheme="minorHAnsi" w:hAnsiTheme="minorHAnsi" w:cstheme="minorHAnsi"/>
          <w:lang w:val="en-NZ"/>
        </w:rPr>
      </w:pPr>
      <w:r w:rsidRPr="003D470A">
        <w:rPr>
          <w:rFonts w:asciiTheme="minorHAnsi" w:hAnsiTheme="minorHAnsi" w:cstheme="minorHAnsi"/>
          <w:lang w:val="en-NZ"/>
        </w:rPr>
        <w:t xml:space="preserve"> </w:t>
      </w:r>
      <w:hyperlink r:id="rId7" w:anchor=":~:text=Human%20disease%20preparedness%20and%20response,virus%20on%2011%20February%202020" w:history="1">
        <w:r w:rsidRPr="00C9288B">
          <w:rPr>
            <w:rStyle w:val="Hyperlink"/>
            <w:rFonts w:asciiTheme="minorHAnsi" w:hAnsiTheme="minorHAnsi" w:cstheme="minorHAnsi"/>
            <w:lang w:val="en-NZ"/>
          </w:rPr>
          <w:t>https://www.who.int/emergencies/diseases/novel-coronavirus-2019/technical-guidance/naming-the-coronavirus-disease-(covid-2019)-and-the-virus-that-causes-it#:~:text=Human%20disease%20preparedness%20and%20response,virus%20on%2011%20February%202020</w:t>
        </w:r>
      </w:hyperlink>
    </w:p>
  </w:endnote>
  <w:endnote w:id="9">
    <w:p w14:paraId="15EE7309" w14:textId="77777777" w:rsidR="00894F38" w:rsidRPr="00687F30" w:rsidRDefault="00894F38">
      <w:pPr>
        <w:pStyle w:val="EndnoteText"/>
        <w:rPr>
          <w:rFonts w:asciiTheme="minorHAnsi" w:hAnsiTheme="minorHAnsi" w:cstheme="minorHAnsi"/>
          <w:lang w:val="mi-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mi-NZ"/>
        </w:rPr>
        <w:t xml:space="preserve">Australian Human Rights Commission. </w:t>
      </w:r>
      <w:r w:rsidRPr="00687F30">
        <w:rPr>
          <w:rFonts w:asciiTheme="minorHAnsi" w:hAnsiTheme="minorHAnsi" w:cstheme="minorHAnsi"/>
          <w:i/>
          <w:iCs/>
          <w:lang w:val="mi-NZ"/>
        </w:rPr>
        <w:t xml:space="preserve">Discrimination. </w:t>
      </w:r>
      <w:r w:rsidRPr="00687F30">
        <w:rPr>
          <w:rFonts w:asciiTheme="minorHAnsi" w:hAnsiTheme="minorHAnsi" w:cstheme="minorHAnsi"/>
          <w:lang w:val="mi-NZ"/>
        </w:rPr>
        <w:t xml:space="preserve">Accessed </w:t>
      </w:r>
      <w:r>
        <w:rPr>
          <w:rFonts w:asciiTheme="minorHAnsi" w:hAnsiTheme="minorHAnsi" w:cstheme="minorHAnsi"/>
          <w:lang w:val="mi-NZ"/>
        </w:rPr>
        <w:t>from</w:t>
      </w:r>
      <w:r w:rsidRPr="00687F30">
        <w:rPr>
          <w:rFonts w:asciiTheme="minorHAnsi" w:hAnsiTheme="minorHAnsi" w:cstheme="minorHAnsi"/>
          <w:lang w:val="mi-NZ"/>
        </w:rPr>
        <w:t xml:space="preserve"> </w:t>
      </w:r>
      <w:hyperlink r:id="rId8" w:history="1">
        <w:r w:rsidRPr="00C9288B">
          <w:rPr>
            <w:rStyle w:val="Hyperlink"/>
            <w:rFonts w:asciiTheme="minorHAnsi" w:hAnsiTheme="minorHAnsi" w:cstheme="minorHAnsi"/>
            <w:lang w:val="mi-NZ"/>
          </w:rPr>
          <w:t>https://humanrights.gov.au/quick-guide/12030</w:t>
        </w:r>
      </w:hyperlink>
    </w:p>
  </w:endnote>
  <w:endnote w:id="10">
    <w:p w14:paraId="77BFE1AE"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Ferris State University. (2023). </w:t>
      </w:r>
      <w:r w:rsidRPr="00687F30">
        <w:rPr>
          <w:rFonts w:asciiTheme="minorHAnsi" w:hAnsiTheme="minorHAnsi" w:cstheme="minorHAnsi"/>
          <w:i/>
          <w:iCs/>
          <w:lang w:val="en-NZ"/>
        </w:rPr>
        <w:t xml:space="preserve">Diversity and inclusion definitions. </w:t>
      </w:r>
      <w:r w:rsidRPr="00687F30">
        <w:rPr>
          <w:rFonts w:asciiTheme="minorHAnsi" w:hAnsiTheme="minorHAnsi" w:cstheme="minorHAnsi"/>
          <w:lang w:val="en-NZ"/>
        </w:rPr>
        <w:t xml:space="preserve"> Accessed at </w:t>
      </w:r>
      <w:hyperlink r:id="rId9" w:history="1">
        <w:r w:rsidRPr="00687F30">
          <w:rPr>
            <w:rStyle w:val="Hyperlink"/>
            <w:rFonts w:asciiTheme="minorHAnsi" w:hAnsiTheme="minorHAnsi" w:cstheme="minorHAnsi"/>
            <w:lang w:val="en-NZ"/>
          </w:rPr>
          <w:t>https://www.ferris.edu/administration/president/DiversityOffice/Definitions.htm</w:t>
        </w:r>
      </w:hyperlink>
    </w:p>
  </w:endnote>
  <w:endnote w:id="11">
    <w:p w14:paraId="1741C002"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World Health Organization. </w:t>
      </w:r>
      <w:r w:rsidRPr="00687F30">
        <w:rPr>
          <w:rFonts w:asciiTheme="minorHAnsi" w:hAnsiTheme="minorHAnsi" w:cstheme="minorHAnsi"/>
        </w:rPr>
        <w:t xml:space="preserve">(n.d.). </w:t>
      </w:r>
      <w:r w:rsidRPr="00687F30">
        <w:rPr>
          <w:rFonts w:asciiTheme="minorHAnsi" w:hAnsiTheme="minorHAnsi" w:cstheme="minorHAnsi"/>
          <w:i/>
          <w:iCs/>
          <w:lang w:val="en-NZ"/>
        </w:rPr>
        <w:t xml:space="preserve">Health equity. </w:t>
      </w:r>
      <w:r w:rsidRPr="00687F30">
        <w:rPr>
          <w:rFonts w:asciiTheme="minorHAnsi" w:hAnsiTheme="minorHAnsi" w:cstheme="minorHAnsi"/>
          <w:lang w:val="en-NZ"/>
        </w:rPr>
        <w:t xml:space="preserve"> Accessed at </w:t>
      </w:r>
      <w:hyperlink r:id="rId10" w:anchor="tab=tab_1" w:history="1">
        <w:r w:rsidRPr="00687F30">
          <w:rPr>
            <w:rStyle w:val="Hyperlink"/>
            <w:rFonts w:asciiTheme="minorHAnsi" w:hAnsiTheme="minorHAnsi" w:cstheme="minorHAnsi"/>
            <w:lang w:val="en-NZ"/>
          </w:rPr>
          <w:t>https://www.who.int/health-topics/health-equity#tab=tab_1</w:t>
        </w:r>
      </w:hyperlink>
    </w:p>
  </w:endnote>
  <w:endnote w:id="12">
    <w:p w14:paraId="506FC080"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Australian Institute of Health and Welfare. (2022). </w:t>
      </w:r>
      <w:r w:rsidRPr="00687F30">
        <w:rPr>
          <w:rFonts w:asciiTheme="minorHAnsi" w:hAnsiTheme="minorHAnsi" w:cstheme="minorHAnsi"/>
          <w:i/>
          <w:iCs/>
          <w:lang w:val="en-NZ"/>
        </w:rPr>
        <w:t xml:space="preserve">Health workforce. </w:t>
      </w:r>
      <w:r w:rsidRPr="00687F30">
        <w:rPr>
          <w:rFonts w:asciiTheme="minorHAnsi" w:hAnsiTheme="minorHAnsi" w:cstheme="minorHAnsi"/>
          <w:lang w:val="en-NZ"/>
        </w:rPr>
        <w:t xml:space="preserve">Accessed at: </w:t>
      </w:r>
      <w:hyperlink r:id="rId11" w:history="1">
        <w:r w:rsidRPr="00687F30">
          <w:rPr>
            <w:rStyle w:val="Hyperlink"/>
            <w:rFonts w:asciiTheme="minorHAnsi" w:hAnsiTheme="minorHAnsi" w:cstheme="minorHAnsi"/>
            <w:lang w:val="en-NZ"/>
          </w:rPr>
          <w:t>https://www.aihw.gov.au/reports/workforce/health-workforce</w:t>
        </w:r>
      </w:hyperlink>
      <w:r w:rsidRPr="00687F30">
        <w:rPr>
          <w:rFonts w:asciiTheme="minorHAnsi" w:hAnsiTheme="minorHAnsi" w:cstheme="minorHAnsi"/>
          <w:lang w:val="en-NZ"/>
        </w:rPr>
        <w:t xml:space="preserve"> </w:t>
      </w:r>
    </w:p>
  </w:endnote>
  <w:endnote w:id="13">
    <w:p w14:paraId="6A38DC0B" w14:textId="77777777" w:rsidR="00894F38" w:rsidRPr="00687F30" w:rsidRDefault="00894F38">
      <w:pPr>
        <w:pStyle w:val="EndnoteText"/>
        <w:rPr>
          <w:rFonts w:asciiTheme="minorHAnsi" w:hAnsiTheme="minorHAnsi" w:cstheme="minorHAnsi"/>
          <w:i/>
          <w:iCs/>
          <w:lang w:val="mi-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mi-NZ"/>
        </w:rPr>
        <w:t xml:space="preserve">Australian Human Rights Commission. </w:t>
      </w:r>
      <w:r w:rsidRPr="00687F30">
        <w:rPr>
          <w:rFonts w:asciiTheme="minorHAnsi" w:hAnsiTheme="minorHAnsi" w:cstheme="minorHAnsi"/>
          <w:lang w:val="en-NZ"/>
        </w:rPr>
        <w:t xml:space="preserve">. </w:t>
      </w:r>
      <w:r w:rsidRPr="00687F30">
        <w:rPr>
          <w:rFonts w:asciiTheme="minorHAnsi" w:hAnsiTheme="minorHAnsi" w:cstheme="minorHAnsi"/>
        </w:rPr>
        <w:t xml:space="preserve">(n.d.). </w:t>
      </w:r>
      <w:r w:rsidRPr="00687F30">
        <w:rPr>
          <w:rFonts w:asciiTheme="minorHAnsi" w:hAnsiTheme="minorHAnsi" w:cstheme="minorHAnsi"/>
          <w:i/>
          <w:iCs/>
          <w:lang w:val="mi-NZ"/>
        </w:rPr>
        <w:t xml:space="preserve">What are human rights? Accessed from </w:t>
      </w:r>
      <w:hyperlink r:id="rId12" w:history="1">
        <w:r w:rsidRPr="00687F30">
          <w:rPr>
            <w:rStyle w:val="Hyperlink"/>
            <w:rFonts w:asciiTheme="minorHAnsi" w:hAnsiTheme="minorHAnsi" w:cstheme="minorHAnsi"/>
            <w:lang w:val="mi-NZ"/>
          </w:rPr>
          <w:t>https://humanrights.gov.au/about/what-are-human-rights</w:t>
        </w:r>
      </w:hyperlink>
    </w:p>
  </w:endnote>
  <w:endnote w:id="14">
    <w:p w14:paraId="225E8144"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Ferris State University. (2023). </w:t>
      </w:r>
      <w:r w:rsidRPr="00687F30">
        <w:rPr>
          <w:rFonts w:asciiTheme="minorHAnsi" w:hAnsiTheme="minorHAnsi" w:cstheme="minorHAnsi"/>
          <w:i/>
          <w:iCs/>
          <w:lang w:val="en-NZ"/>
        </w:rPr>
        <w:t xml:space="preserve">Diversity and inclusion definitions. </w:t>
      </w:r>
      <w:r w:rsidRPr="00687F30">
        <w:rPr>
          <w:rFonts w:asciiTheme="minorHAnsi" w:hAnsiTheme="minorHAnsi" w:cstheme="minorHAnsi"/>
          <w:lang w:val="en-NZ"/>
        </w:rPr>
        <w:t xml:space="preserve"> Accessed at </w:t>
      </w:r>
      <w:hyperlink r:id="rId13" w:history="1">
        <w:r w:rsidRPr="00687F30">
          <w:rPr>
            <w:rStyle w:val="Hyperlink"/>
            <w:rFonts w:asciiTheme="minorHAnsi" w:hAnsiTheme="minorHAnsi" w:cstheme="minorHAnsi"/>
            <w:lang w:val="en-NZ"/>
          </w:rPr>
          <w:t>https://www.ferris.edu/administration/president/DiversityOffice/Definitions.htm</w:t>
        </w:r>
      </w:hyperlink>
    </w:p>
  </w:endnote>
  <w:endnote w:id="15">
    <w:p w14:paraId="1E91DD6E" w14:textId="77777777" w:rsidR="00894F38" w:rsidRPr="00687F30" w:rsidRDefault="00894F38">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Victorian Government. (2021). </w:t>
      </w:r>
      <w:r w:rsidRPr="00687F30">
        <w:rPr>
          <w:rFonts w:asciiTheme="minorHAnsi" w:hAnsiTheme="minorHAnsi" w:cstheme="minorHAnsi"/>
          <w:i/>
          <w:iCs/>
        </w:rPr>
        <w:t xml:space="preserve">Understanding intersectionality. </w:t>
      </w:r>
      <w:r w:rsidRPr="00687F30">
        <w:rPr>
          <w:rFonts w:asciiTheme="minorHAnsi" w:hAnsiTheme="minorHAnsi" w:cstheme="minorHAnsi"/>
        </w:rPr>
        <w:t xml:space="preserve">Accessed at </w:t>
      </w:r>
      <w:hyperlink r:id="rId14" w:history="1">
        <w:r w:rsidRPr="00687F30">
          <w:rPr>
            <w:rStyle w:val="Hyperlink"/>
            <w:rFonts w:asciiTheme="minorHAnsi" w:hAnsiTheme="minorHAnsi" w:cstheme="minorHAnsi"/>
          </w:rPr>
          <w:t>https://www.vic.gov.au/understanding-intersectionality</w:t>
        </w:r>
      </w:hyperlink>
    </w:p>
  </w:endnote>
  <w:endnote w:id="16">
    <w:p w14:paraId="5CE882A0" w14:textId="77777777" w:rsidR="00894F38" w:rsidRPr="00687F30" w:rsidRDefault="00894F38">
      <w:pPr>
        <w:pStyle w:val="EndnoteText"/>
        <w:rPr>
          <w:rFonts w:asciiTheme="minorHAnsi" w:hAnsiTheme="minorHAnsi" w:cstheme="minorHAnsi"/>
          <w:lang w:val="mi-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mi-NZ"/>
        </w:rPr>
        <w:t xml:space="preserve">Health Educaton England. </w:t>
      </w:r>
      <w:r w:rsidRPr="00687F30">
        <w:rPr>
          <w:rFonts w:asciiTheme="minorHAnsi" w:hAnsiTheme="minorHAnsi" w:cstheme="minorHAnsi"/>
        </w:rPr>
        <w:t xml:space="preserve">(n.d.). </w:t>
      </w:r>
      <w:r w:rsidRPr="00687F30">
        <w:rPr>
          <w:rFonts w:asciiTheme="minorHAnsi" w:hAnsiTheme="minorHAnsi" w:cstheme="minorHAnsi"/>
          <w:i/>
          <w:iCs/>
          <w:lang w:val="mi-NZ"/>
        </w:rPr>
        <w:t xml:space="preserve">Person-centred care. </w:t>
      </w:r>
      <w:r w:rsidRPr="00687F30">
        <w:rPr>
          <w:rFonts w:asciiTheme="minorHAnsi" w:hAnsiTheme="minorHAnsi" w:cstheme="minorHAnsi"/>
          <w:lang w:val="mi-NZ"/>
        </w:rPr>
        <w:t xml:space="preserve">Accessed at </w:t>
      </w:r>
      <w:hyperlink r:id="rId15" w:history="1">
        <w:r w:rsidRPr="00687F30">
          <w:rPr>
            <w:rStyle w:val="Hyperlink"/>
            <w:rFonts w:asciiTheme="minorHAnsi" w:hAnsiTheme="minorHAnsi" w:cstheme="minorHAnsi"/>
            <w:lang w:val="mi-NZ"/>
          </w:rPr>
          <w:t>https://www.hee.nhs.uk/our-work/person-centred-care</w:t>
        </w:r>
      </w:hyperlink>
    </w:p>
  </w:endnote>
  <w:endnote w:id="17">
    <w:p w14:paraId="5EE820C5"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World Health Organization (2023). </w:t>
      </w:r>
      <w:r w:rsidRPr="00687F30">
        <w:rPr>
          <w:rFonts w:asciiTheme="minorHAnsi" w:hAnsiTheme="minorHAnsi" w:cstheme="minorHAnsi"/>
          <w:i/>
          <w:iCs/>
          <w:lang w:val="en-NZ"/>
        </w:rPr>
        <w:t xml:space="preserve">About us. </w:t>
      </w:r>
      <w:r w:rsidRPr="00687F30">
        <w:rPr>
          <w:rFonts w:asciiTheme="minorHAnsi" w:hAnsiTheme="minorHAnsi" w:cstheme="minorHAnsi"/>
          <w:lang w:val="en-NZ"/>
        </w:rPr>
        <w:t xml:space="preserve">Accessed at </w:t>
      </w:r>
      <w:hyperlink r:id="rId16" w:history="1">
        <w:r w:rsidRPr="00687F30">
          <w:rPr>
            <w:rStyle w:val="Hyperlink"/>
            <w:rFonts w:asciiTheme="minorHAnsi" w:hAnsiTheme="minorHAnsi" w:cstheme="minorHAnsi"/>
            <w:lang w:val="en-NZ"/>
          </w:rPr>
          <w:t>https://www.emro.who.int/about-who/public-health-functions/health-promotion-disease-prevention.html</w:t>
        </w:r>
      </w:hyperlink>
      <w:r w:rsidRPr="00687F30">
        <w:rPr>
          <w:rFonts w:asciiTheme="minorHAnsi" w:hAnsiTheme="minorHAnsi" w:cstheme="minorHAnsi"/>
          <w:lang w:val="en-NZ"/>
        </w:rPr>
        <w:t xml:space="preserve"> </w:t>
      </w:r>
    </w:p>
  </w:endnote>
  <w:endnote w:id="18">
    <w:p w14:paraId="0A3E0DF2" w14:textId="77777777" w:rsidR="00894F38" w:rsidRPr="00687F30" w:rsidRDefault="00894F38">
      <w:pPr>
        <w:pStyle w:val="EndnoteText"/>
        <w:rPr>
          <w:rFonts w:asciiTheme="minorHAnsi" w:hAnsiTheme="minorHAnsi" w:cstheme="minorHAnsi"/>
          <w:lang w:val="mi-NZ"/>
        </w:rPr>
      </w:pPr>
      <w:r w:rsidRPr="00687F30">
        <w:rPr>
          <w:rStyle w:val="EndnoteReference"/>
          <w:rFonts w:asciiTheme="minorHAnsi" w:hAnsiTheme="minorHAnsi" w:cstheme="minorHAnsi"/>
        </w:rPr>
        <w:endnoteRef/>
      </w:r>
      <w:r w:rsidRPr="00687F30">
        <w:rPr>
          <w:rFonts w:asciiTheme="minorHAnsi" w:hAnsiTheme="minorHAnsi" w:cstheme="minorHAnsi"/>
        </w:rPr>
        <w:t xml:space="preserve"> Australian Government Department of Health and Aged Care. (2023). </w:t>
      </w:r>
      <w:r w:rsidRPr="00687F30">
        <w:rPr>
          <w:rFonts w:asciiTheme="minorHAnsi" w:hAnsiTheme="minorHAnsi" w:cstheme="minorHAnsi"/>
          <w:i/>
          <w:iCs/>
        </w:rPr>
        <w:t xml:space="preserve">What PHNs are. </w:t>
      </w:r>
      <w:r w:rsidRPr="00687F30">
        <w:rPr>
          <w:rFonts w:asciiTheme="minorHAnsi" w:hAnsiTheme="minorHAnsi" w:cstheme="minorHAnsi"/>
        </w:rPr>
        <w:t xml:space="preserve">Accessed from </w:t>
      </w:r>
      <w:hyperlink r:id="rId17" w:history="1">
        <w:r w:rsidRPr="00687F30">
          <w:rPr>
            <w:rStyle w:val="Hyperlink"/>
            <w:rFonts w:asciiTheme="minorHAnsi" w:hAnsiTheme="minorHAnsi" w:cstheme="minorHAnsi"/>
          </w:rPr>
          <w:t>https://www.health.gov.au/our-work/phn/what-PHNs-are</w:t>
        </w:r>
      </w:hyperlink>
      <w:r w:rsidRPr="00687F30">
        <w:rPr>
          <w:rFonts w:asciiTheme="minorHAnsi" w:hAnsiTheme="minorHAnsi" w:cstheme="minorHAnsi"/>
        </w:rPr>
        <w:t xml:space="preserve"> </w:t>
      </w:r>
    </w:p>
  </w:endnote>
  <w:endnote w:id="19">
    <w:p w14:paraId="09A9B15E"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Australian Indigenous Health</w:t>
      </w:r>
      <w:r w:rsidRPr="00687F30">
        <w:rPr>
          <w:rFonts w:asciiTheme="minorHAnsi" w:hAnsiTheme="minorHAnsi" w:cstheme="minorHAnsi"/>
          <w:i/>
          <w:iCs/>
        </w:rPr>
        <w:t>InfoNet.</w:t>
      </w:r>
      <w:r w:rsidRPr="00687F30">
        <w:rPr>
          <w:rFonts w:asciiTheme="minorHAnsi" w:hAnsiTheme="minorHAnsi" w:cstheme="minorHAnsi"/>
        </w:rPr>
        <w:t xml:space="preserve"> (n.d.). </w:t>
      </w:r>
      <w:r w:rsidRPr="00687F30">
        <w:rPr>
          <w:rFonts w:asciiTheme="minorHAnsi" w:hAnsiTheme="minorHAnsi" w:cstheme="minorHAnsi"/>
          <w:i/>
          <w:iCs/>
        </w:rPr>
        <w:t xml:space="preserve"> Primary Health Care. </w:t>
      </w:r>
      <w:r w:rsidRPr="00687F30">
        <w:rPr>
          <w:rFonts w:asciiTheme="minorHAnsi" w:hAnsiTheme="minorHAnsi" w:cstheme="minorHAnsi"/>
        </w:rPr>
        <w:t xml:space="preserve">Accessed at </w:t>
      </w:r>
      <w:hyperlink r:id="rId18" w:history="1">
        <w:r w:rsidRPr="00687F30">
          <w:rPr>
            <w:rStyle w:val="Hyperlink"/>
            <w:rFonts w:asciiTheme="minorHAnsi" w:hAnsiTheme="minorHAnsi" w:cstheme="minorHAnsi"/>
            <w:lang w:val="en-NZ"/>
          </w:rPr>
          <w:t>https://healthinfonet.ecu.edu.au/learn/health-system/primary-health-care/</w:t>
        </w:r>
      </w:hyperlink>
    </w:p>
  </w:endnote>
  <w:endnote w:id="20">
    <w:p w14:paraId="4E061C51"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Pr>
          <w:rFonts w:asciiTheme="minorHAnsi" w:hAnsiTheme="minorHAnsi" w:cstheme="minorHAnsi"/>
        </w:rPr>
        <w:t xml:space="preserve">Australian Government Department of Health and Aged Care (2021). </w:t>
      </w:r>
      <w:r>
        <w:rPr>
          <w:rFonts w:asciiTheme="minorHAnsi" w:hAnsiTheme="minorHAnsi" w:cstheme="minorHAnsi"/>
          <w:i/>
          <w:iCs/>
        </w:rPr>
        <w:t xml:space="preserve">National Preventive Health Strategy (2021-2020). </w:t>
      </w:r>
      <w:r>
        <w:rPr>
          <w:rFonts w:asciiTheme="minorHAnsi" w:hAnsiTheme="minorHAnsi" w:cstheme="minorHAnsi"/>
        </w:rPr>
        <w:t xml:space="preserve">Accessed from: </w:t>
      </w:r>
      <w:hyperlink r:id="rId19" w:history="1">
        <w:r w:rsidRPr="00C9288B">
          <w:rPr>
            <w:rStyle w:val="Hyperlink"/>
            <w:rFonts w:asciiTheme="minorHAnsi" w:hAnsiTheme="minorHAnsi" w:cstheme="minorHAnsi"/>
          </w:rPr>
          <w:t>https://www.health.gov.au/resources/publications/national-preventive-health-strategy-2021-2030?language=en</w:t>
        </w:r>
      </w:hyperlink>
      <w:r w:rsidRPr="00687F30">
        <w:rPr>
          <w:rFonts w:asciiTheme="minorHAnsi" w:hAnsiTheme="minorHAnsi" w:cstheme="minorHAnsi"/>
          <w:lang w:val="en-NZ"/>
        </w:rPr>
        <w:t xml:space="preserve"> </w:t>
      </w:r>
    </w:p>
  </w:endnote>
  <w:endnote w:id="21">
    <w:p w14:paraId="5B793FF7"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UNESCO.  (2021). </w:t>
      </w:r>
      <w:r w:rsidRPr="00687F30">
        <w:rPr>
          <w:rFonts w:asciiTheme="minorHAnsi" w:hAnsiTheme="minorHAnsi" w:cstheme="minorHAnsi"/>
          <w:i/>
          <w:iCs/>
          <w:lang w:val="en-NZ"/>
        </w:rPr>
        <w:t>Sexual and reproductive health and rights (SRHR): brief.</w:t>
      </w:r>
      <w:r w:rsidRPr="00687F30">
        <w:rPr>
          <w:rFonts w:asciiTheme="minorHAnsi" w:hAnsiTheme="minorHAnsi" w:cstheme="minorHAnsi"/>
          <w:lang w:val="en-NZ"/>
        </w:rPr>
        <w:t xml:space="preserve"> Accessed at </w:t>
      </w:r>
      <w:hyperlink r:id="rId20" w:anchor=":~:text=Sexual%20and%20reproductive%20health%20and%20rights%20(SRHR)%20are%20fundamental%20to,live%20healthy%20and%20productive%20lives" w:history="1">
        <w:r w:rsidRPr="00687F30">
          <w:rPr>
            <w:rStyle w:val="Hyperlink"/>
            <w:rFonts w:asciiTheme="minorHAnsi" w:hAnsiTheme="minorHAnsi" w:cstheme="minorHAnsi"/>
            <w:lang w:val="en-NZ"/>
          </w:rPr>
          <w:t>https://healtheducationresources.unesco.org/library/documents/sexual-and-reproductive-health-and-rights-srhr-brief#:~:text=Sexual%20and%20reproductive%20health%20and%20rights%20(SRHR)%20are%20fundamental%20to,live%20healthy%20and%20productive%20lives</w:t>
        </w:r>
      </w:hyperlink>
      <w:r w:rsidRPr="00687F30">
        <w:rPr>
          <w:rFonts w:asciiTheme="minorHAnsi" w:hAnsiTheme="minorHAnsi" w:cstheme="minorHAnsi"/>
          <w:lang w:val="en-NZ"/>
        </w:rPr>
        <w:t xml:space="preserve"> </w:t>
      </w:r>
    </w:p>
  </w:endnote>
  <w:endnote w:id="22">
    <w:p w14:paraId="5597E030" w14:textId="77777777" w:rsidR="00894F38" w:rsidRPr="00687F30" w:rsidRDefault="00894F38">
      <w:pPr>
        <w:pStyle w:val="EndnoteText"/>
        <w:rPr>
          <w:rFonts w:asciiTheme="minorHAnsi" w:hAnsiTheme="minorHAnsi" w:cstheme="minorHAnsi"/>
          <w:lang w:val="mi-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mi-NZ"/>
        </w:rPr>
        <w:t xml:space="preserve">World Health Organization. (2023). </w:t>
      </w:r>
      <w:r w:rsidRPr="00687F30">
        <w:rPr>
          <w:rFonts w:asciiTheme="minorHAnsi" w:hAnsiTheme="minorHAnsi" w:cstheme="minorHAnsi"/>
          <w:i/>
          <w:iCs/>
          <w:lang w:val="mi-NZ"/>
        </w:rPr>
        <w:t xml:space="preserve">Social determinats of health. </w:t>
      </w:r>
      <w:r w:rsidRPr="00687F30">
        <w:rPr>
          <w:rFonts w:asciiTheme="minorHAnsi" w:hAnsiTheme="minorHAnsi" w:cstheme="minorHAnsi"/>
          <w:lang w:val="mi-NZ"/>
        </w:rPr>
        <w:t xml:space="preserve">Accessed at </w:t>
      </w:r>
      <w:hyperlink r:id="rId21" w:anchor="tab=tab_1" w:history="1">
        <w:r w:rsidRPr="00687F30">
          <w:rPr>
            <w:rStyle w:val="Hyperlink"/>
            <w:rFonts w:asciiTheme="minorHAnsi" w:hAnsiTheme="minorHAnsi" w:cstheme="minorHAnsi"/>
            <w:lang w:val="mi-NZ"/>
          </w:rPr>
          <w:t>https://www.who.int/health-topics/social-determinants-of-health#tab=tab_1</w:t>
        </w:r>
      </w:hyperlink>
    </w:p>
  </w:endnote>
  <w:endnote w:id="23">
    <w:p w14:paraId="3E807C23" w14:textId="7777777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lang w:val="en-NZ"/>
        </w:rPr>
        <w:t xml:space="preserve">Healthline. </w:t>
      </w:r>
      <w:r w:rsidRPr="00687F30">
        <w:rPr>
          <w:rFonts w:asciiTheme="minorHAnsi" w:hAnsiTheme="minorHAnsi" w:cstheme="minorHAnsi"/>
        </w:rPr>
        <w:t xml:space="preserve">(n.d.). </w:t>
      </w:r>
      <w:r w:rsidRPr="00687F30">
        <w:rPr>
          <w:rFonts w:asciiTheme="minorHAnsi" w:hAnsiTheme="minorHAnsi" w:cstheme="minorHAnsi"/>
          <w:i/>
          <w:iCs/>
          <w:lang w:val="en-NZ"/>
        </w:rPr>
        <w:t xml:space="preserve">What is stigma? </w:t>
      </w:r>
      <w:r w:rsidRPr="00687F30">
        <w:rPr>
          <w:rFonts w:asciiTheme="minorHAnsi" w:hAnsiTheme="minorHAnsi" w:cstheme="minorHAnsi"/>
          <w:lang w:val="en-NZ"/>
        </w:rPr>
        <w:t xml:space="preserve">Accessed at </w:t>
      </w:r>
      <w:hyperlink r:id="rId22" w:history="1">
        <w:r w:rsidRPr="00687F30">
          <w:rPr>
            <w:rStyle w:val="Hyperlink"/>
            <w:rFonts w:asciiTheme="minorHAnsi" w:hAnsiTheme="minorHAnsi" w:cstheme="minorHAnsi"/>
            <w:lang w:val="en-NZ"/>
          </w:rPr>
          <w:t>https://www.healthline.com/health/what-is-stigma</w:t>
        </w:r>
      </w:hyperlink>
    </w:p>
  </w:endnote>
  <w:endnote w:id="24">
    <w:p w14:paraId="4EFE4D3D" w14:textId="22963D6E" w:rsidR="00894F38" w:rsidRPr="00687F30" w:rsidRDefault="00894F38">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Australian Government Department of Health and Aged Care. (2023). </w:t>
      </w:r>
      <w:r w:rsidRPr="00687F30">
        <w:rPr>
          <w:rFonts w:asciiTheme="minorHAnsi" w:hAnsiTheme="minorHAnsi" w:cstheme="minorHAnsi"/>
          <w:i/>
          <w:iCs/>
          <w:color w:val="000000" w:themeColor="text1"/>
        </w:rPr>
        <w:t xml:space="preserve">Sexual health. </w:t>
      </w:r>
      <w:r w:rsidRPr="00687F30">
        <w:rPr>
          <w:rFonts w:asciiTheme="minorHAnsi" w:hAnsiTheme="minorHAnsi" w:cstheme="minorHAnsi"/>
          <w:color w:val="000000" w:themeColor="text1"/>
        </w:rPr>
        <w:t xml:space="preserve">Accessed from: </w:t>
      </w:r>
      <w:hyperlink r:id="rId23" w:history="1">
        <w:r w:rsidRPr="00687F30">
          <w:rPr>
            <w:rStyle w:val="Hyperlink"/>
            <w:rFonts w:asciiTheme="minorHAnsi" w:hAnsiTheme="minorHAnsi" w:cstheme="minorHAnsi"/>
          </w:rPr>
          <w:t>https://www.health.gov.au/topics/sexual-health</w:t>
        </w:r>
      </w:hyperlink>
      <w:r w:rsidRPr="00687F30">
        <w:rPr>
          <w:rFonts w:asciiTheme="minorHAnsi" w:hAnsiTheme="minorHAnsi" w:cstheme="minorHAnsi"/>
          <w:color w:val="000000" w:themeColor="text1"/>
        </w:rPr>
        <w:t>.</w:t>
      </w:r>
    </w:p>
  </w:endnote>
  <w:endnote w:id="25">
    <w:p w14:paraId="4AA06AF3" w14:textId="69793E19" w:rsidR="00894F38" w:rsidRPr="00687F30" w:rsidRDefault="00894F38" w:rsidP="02F132C7">
      <w:pPr>
        <w:rPr>
          <w:rFonts w:asciiTheme="minorHAnsi" w:hAnsiTheme="minorHAnsi" w:cstheme="minorHAnsi"/>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ASHM. (2023).</w:t>
      </w:r>
      <w:r w:rsidRPr="00687F30">
        <w:rPr>
          <w:rFonts w:asciiTheme="minorHAnsi" w:eastAsiaTheme="majorEastAsia" w:hAnsiTheme="minorHAnsi" w:cstheme="minorHAnsi"/>
          <w:i/>
          <w:iCs/>
          <w:color w:val="000000" w:themeColor="text1"/>
          <w:sz w:val="20"/>
          <w:szCs w:val="20"/>
        </w:rPr>
        <w:t xml:space="preserve"> Australian Consensus Statement on Person-Centred HIV Care. </w:t>
      </w:r>
      <w:r w:rsidRPr="00687F30">
        <w:rPr>
          <w:rFonts w:asciiTheme="minorHAnsi" w:eastAsiaTheme="majorEastAsia" w:hAnsiTheme="minorHAnsi" w:cstheme="minorHAnsi"/>
          <w:color w:val="000000" w:themeColor="text1"/>
          <w:sz w:val="20"/>
          <w:szCs w:val="20"/>
        </w:rPr>
        <w:t xml:space="preserve">21 June. Accessed from: </w:t>
      </w:r>
      <w:hyperlink r:id="rId24">
        <w:r w:rsidRPr="00687F30">
          <w:rPr>
            <w:rFonts w:asciiTheme="minorHAnsi" w:eastAsiaTheme="majorEastAsia" w:hAnsiTheme="minorHAnsi" w:cstheme="minorHAnsi"/>
            <w:color w:val="000000" w:themeColor="text1"/>
            <w:sz w:val="20"/>
            <w:szCs w:val="20"/>
          </w:rPr>
          <w:t>Australian Consensus Statement on Person-Centred HIV Care | ASHM Health</w:t>
        </w:r>
      </w:hyperlink>
    </w:p>
  </w:endnote>
  <w:endnote w:id="26">
    <w:p w14:paraId="02AA2470" w14:textId="77777777" w:rsidR="00894F38" w:rsidRPr="00687F30" w:rsidRDefault="00894F38" w:rsidP="00961E1B">
      <w:pPr>
        <w:pStyle w:val="EndnoteText"/>
        <w:rPr>
          <w:rFonts w:asciiTheme="minorHAnsi" w:hAnsiTheme="minorHAnsi" w:cstheme="minorHAnsi"/>
          <w:b/>
          <w:bCs/>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Department of Health and Aged Care. (2021). </w:t>
      </w:r>
      <w:r w:rsidRPr="00687F30">
        <w:rPr>
          <w:rFonts w:asciiTheme="minorHAnsi" w:hAnsiTheme="minorHAnsi" w:cstheme="minorHAnsi"/>
          <w:i/>
          <w:iCs/>
          <w:color w:val="000000" w:themeColor="text1"/>
        </w:rPr>
        <w:t>National Preventive Health Strategy 2021–2030</w:t>
      </w:r>
      <w:r w:rsidRPr="00687F30">
        <w:rPr>
          <w:rFonts w:asciiTheme="minorHAnsi" w:hAnsiTheme="minorHAnsi" w:cstheme="minorHAnsi"/>
          <w:color w:val="000000" w:themeColor="text1"/>
        </w:rPr>
        <w:t>. Accessed from:</w:t>
      </w:r>
      <w:r w:rsidRPr="00687F30">
        <w:rPr>
          <w:rFonts w:asciiTheme="minorHAnsi" w:hAnsiTheme="minorHAnsi" w:cstheme="minorHAnsi"/>
          <w:b/>
          <w:bCs/>
          <w:color w:val="000000" w:themeColor="text1"/>
        </w:rPr>
        <w:t xml:space="preserve"> </w:t>
      </w:r>
      <w:r w:rsidRPr="00687F30">
        <w:rPr>
          <w:rFonts w:asciiTheme="minorHAnsi" w:hAnsiTheme="minorHAnsi" w:cstheme="minorHAnsi"/>
        </w:rPr>
        <w:t>https://www.health.gov.au/resources/publications/national-preventive-health-strategy-2021-2030?language=en</w:t>
      </w:r>
    </w:p>
  </w:endnote>
  <w:endnote w:id="27">
    <w:p w14:paraId="6DE12544" w14:textId="34060143" w:rsidR="00894F38" w:rsidRPr="003F5976" w:rsidRDefault="00894F38" w:rsidP="00BA1F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Australian Journal of General Practice. (2021). </w:t>
      </w:r>
      <w:r w:rsidRPr="00687F30">
        <w:rPr>
          <w:rFonts w:asciiTheme="minorHAnsi" w:hAnsiTheme="minorHAnsi" w:cstheme="minorHAnsi"/>
          <w:i/>
          <w:iCs/>
          <w:color w:val="000000" w:themeColor="text1"/>
          <w:sz w:val="20"/>
          <w:szCs w:val="20"/>
        </w:rPr>
        <w:t>New best practice guidance for general practice to reduce chlamydia-associated reproductive complications in women</w:t>
      </w:r>
      <w:r w:rsidRPr="00687F30">
        <w:rPr>
          <w:rFonts w:asciiTheme="minorHAnsi" w:hAnsiTheme="minorHAnsi" w:cstheme="minorHAnsi"/>
          <w:color w:val="000000" w:themeColor="text1"/>
          <w:sz w:val="20"/>
          <w:szCs w:val="20"/>
        </w:rPr>
        <w:t xml:space="preserve">. Vol.50. Accessed from: </w:t>
      </w:r>
      <w:hyperlink r:id="rId25" w:anchor=":~:text=Although%20approximately%2080%25%20of%20women,tract'%20that%20'varies%20widely%20in" w:history="1">
        <w:r w:rsidRPr="00C9288B">
          <w:rPr>
            <w:rStyle w:val="Hyperlink"/>
            <w:rFonts w:asciiTheme="minorHAnsi" w:hAnsiTheme="minorHAnsi" w:cstheme="minorHAnsi"/>
            <w:sz w:val="20"/>
            <w:szCs w:val="20"/>
          </w:rPr>
          <w:t>https://www1.racgp.org.au/ajgp/2021/january-february/chlamydia-associated-reproductive-complications-in#:~:text=Although%20approximately%2080%25%20of%20women,tract'%20that%20'varies%20widely%20in</w:t>
        </w:r>
      </w:hyperlink>
    </w:p>
  </w:endnote>
  <w:endnote w:id="28">
    <w:p w14:paraId="79927BE9" w14:textId="6BD5E7D0" w:rsidR="00894F38" w:rsidRPr="003F5976" w:rsidRDefault="00894F38">
      <w:pPr>
        <w:pStyle w:val="EndnoteText"/>
        <w:rPr>
          <w:rFonts w:asciiTheme="minorHAnsi" w:hAnsiTheme="minorHAnsi" w:cstheme="minorHAnsi"/>
          <w:i/>
          <w:iCs/>
          <w:lang w:val="en-NZ"/>
        </w:rPr>
      </w:pPr>
      <w:r>
        <w:rPr>
          <w:rStyle w:val="EndnoteReference"/>
        </w:rPr>
        <w:endnoteRef/>
      </w:r>
      <w:r>
        <w:t xml:space="preserve"> </w:t>
      </w:r>
      <w:r w:rsidRPr="003F5976">
        <w:rPr>
          <w:rFonts w:asciiTheme="minorHAnsi" w:hAnsiTheme="minorHAnsi" w:cstheme="minorHAnsi"/>
          <w:lang w:val="en-NZ"/>
        </w:rPr>
        <w:t xml:space="preserve">Cornelisse, V.j., Health-Paynter, D., Delpech, V., Read, P., Apostolellis, A., Medland, N.A., MacIntyre, R., Giola, M., &amp; Kidd, M. (2023). ‘How Australia and Aotearoa New Zealand avoided large-scale mpox (formerly monkeypox) outbreaks in 2022-2023.’ </w:t>
      </w:r>
      <w:r w:rsidRPr="003F5976">
        <w:rPr>
          <w:rFonts w:asciiTheme="minorHAnsi" w:hAnsiTheme="minorHAnsi" w:cstheme="minorHAnsi"/>
          <w:i/>
          <w:iCs/>
          <w:lang w:val="en-NZ"/>
        </w:rPr>
        <w:t xml:space="preserve">Internal Medicine Journal </w:t>
      </w:r>
      <w:r w:rsidRPr="003F5976">
        <w:rPr>
          <w:rFonts w:asciiTheme="minorHAnsi" w:hAnsiTheme="minorHAnsi" w:cstheme="minorHAnsi"/>
          <w:lang w:val="en-NZ"/>
        </w:rPr>
        <w:t xml:space="preserve">53:1732-1738. Available from: </w:t>
      </w:r>
      <w:hyperlink r:id="rId26" w:history="1">
        <w:r w:rsidRPr="003F5976">
          <w:rPr>
            <w:rStyle w:val="Hyperlink"/>
            <w:rFonts w:asciiTheme="minorHAnsi" w:hAnsiTheme="minorHAnsi" w:cstheme="minorHAnsi"/>
            <w:lang w:val="en-NZ"/>
          </w:rPr>
          <w:t>https://onlinelibrary.wiley.com/doi/10.1111/imj.16236</w:t>
        </w:r>
      </w:hyperlink>
    </w:p>
  </w:endnote>
  <w:endnote w:id="29">
    <w:p w14:paraId="4DFEE402" w14:textId="108BB4AC" w:rsidR="00894F38" w:rsidRPr="00687F30" w:rsidRDefault="00894F38" w:rsidP="00BA1F9E">
      <w:pPr>
        <w:pStyle w:val="NormalWeb"/>
        <w:spacing w:before="0" w:beforeAutospacing="0" w:after="0" w:afterAutospacing="0"/>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Mpox is a viral zoonotic disease that can also spread from human to human, </w:t>
      </w:r>
      <w:r w:rsidRPr="00687F30">
        <w:rPr>
          <w:rFonts w:asciiTheme="minorHAnsi" w:hAnsiTheme="minorHAnsi" w:cstheme="minorHAnsi"/>
          <w:color w:val="000000" w:themeColor="text1"/>
          <w:sz w:val="20"/>
          <w:szCs w:val="20"/>
          <w:shd w:val="clear" w:color="auto" w:fill="FFFFFF"/>
        </w:rPr>
        <w:t xml:space="preserve">and can be prevented by taking public health precautions, such as early case detection, diagnosis and care, isolation and contact tracing, and self-monitoring by contacts. See </w:t>
      </w:r>
      <w:r w:rsidRPr="00687F30">
        <w:rPr>
          <w:rFonts w:asciiTheme="minorHAnsi" w:hAnsiTheme="minorHAnsi" w:cstheme="minorHAnsi"/>
          <w:color w:val="000000" w:themeColor="text1"/>
          <w:sz w:val="20"/>
          <w:szCs w:val="20"/>
        </w:rPr>
        <w:t xml:space="preserve">Mao, L., Broady, T., Holt, M., Newman, C., &amp; Treloar, C. (2021). Annual Report of Trends in Behaviour 2021: HIV and STI in Australia. UNSW Centre for Social Research in Health. </w:t>
      </w:r>
      <w:hyperlink r:id="rId27" w:history="1">
        <w:r w:rsidRPr="00687F30">
          <w:rPr>
            <w:rStyle w:val="Hyperlink"/>
            <w:rFonts w:asciiTheme="minorHAnsi" w:hAnsiTheme="minorHAnsi" w:cstheme="minorHAnsi"/>
            <w:color w:val="000000" w:themeColor="text1"/>
            <w:sz w:val="20"/>
            <w:szCs w:val="20"/>
          </w:rPr>
          <w:t>http://unsworks.unsw.edu.au/fapi/datastream/unsworks:77139/bin8807976f-5af2-46c4-aee2-1eb3f8ac7e74?view=true&amp;xy=01</w:t>
        </w:r>
      </w:hyperlink>
      <w:r w:rsidRPr="00687F30">
        <w:rPr>
          <w:rFonts w:asciiTheme="minorHAnsi" w:hAnsiTheme="minorHAnsi" w:cstheme="minorHAnsi"/>
          <w:color w:val="000000" w:themeColor="text1"/>
          <w:sz w:val="20"/>
          <w:szCs w:val="20"/>
        </w:rPr>
        <w:t xml:space="preserve">; and see also National Centre for Immunisation Research and Surveillance. (2021). Annual immunisation coverage report 2020. </w:t>
      </w:r>
      <w:r w:rsidRPr="0002141C">
        <w:rPr>
          <w:rFonts w:asciiTheme="minorHAnsi" w:hAnsiTheme="minorHAnsi" w:cstheme="minorHAnsi"/>
          <w:color w:val="000000" w:themeColor="text1"/>
          <w:sz w:val="20"/>
          <w:szCs w:val="20"/>
        </w:rPr>
        <w:t>https://ncirs.org.au/sites/default/files/2021-11/NCIRS%20Annual%20Immunisation%20Coverage%20Report%202020_FINAL.pdf</w:t>
      </w:r>
    </w:p>
  </w:endnote>
  <w:endnote w:id="30">
    <w:p w14:paraId="41FF946C" w14:textId="41C7700B" w:rsidR="00894F38" w:rsidRPr="00687F30" w:rsidRDefault="00894F38">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Department of Health. (2018). </w:t>
      </w:r>
      <w:r w:rsidRPr="00687F30">
        <w:rPr>
          <w:rFonts w:asciiTheme="minorHAnsi" w:hAnsiTheme="minorHAnsi" w:cstheme="minorHAnsi"/>
          <w:i/>
          <w:iCs/>
        </w:rPr>
        <w:t>Fourth National Sexually Transmissible Infections Strategy 2018-2022.</w:t>
      </w:r>
      <w:r w:rsidRPr="00687F30">
        <w:rPr>
          <w:rFonts w:asciiTheme="minorHAnsi" w:hAnsiTheme="minorHAnsi" w:cstheme="minorHAnsi"/>
        </w:rPr>
        <w:t xml:space="preserve"> </w:t>
      </w:r>
      <w:hyperlink r:id="rId28" w:history="1">
        <w:r w:rsidRPr="00055843">
          <w:rPr>
            <w:rStyle w:val="Hyperlink"/>
            <w:rFonts w:asciiTheme="minorHAnsi" w:hAnsiTheme="minorHAnsi" w:cstheme="minorHAnsi"/>
          </w:rPr>
          <w:t>https://www.health.gov.au/sites/default/files/documents/2022/06/fourth-national-sexually-transmissible-infections-strategy-2018-2022.pdf</w:t>
        </w:r>
      </w:hyperlink>
      <w:r>
        <w:rPr>
          <w:rFonts w:asciiTheme="minorHAnsi" w:hAnsiTheme="minorHAnsi" w:cstheme="minorHAnsi"/>
        </w:rPr>
        <w:t xml:space="preserve"> </w:t>
      </w:r>
    </w:p>
  </w:endnote>
  <w:endnote w:id="31">
    <w:p w14:paraId="0E1EB178" w14:textId="77777777" w:rsidR="00894F38" w:rsidRPr="00687F30" w:rsidRDefault="00894F38" w:rsidP="00BA1F9E">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Department of Health. (2017). </w:t>
      </w:r>
      <w:r w:rsidRPr="00687F30">
        <w:rPr>
          <w:rFonts w:asciiTheme="minorHAnsi" w:hAnsiTheme="minorHAnsi" w:cstheme="minorHAnsi"/>
          <w:i/>
          <w:iCs/>
          <w:color w:val="000000" w:themeColor="text1"/>
          <w:sz w:val="20"/>
          <w:szCs w:val="20"/>
        </w:rPr>
        <w:t>National drug strategy 2017–2026.</w:t>
      </w:r>
      <w:r w:rsidRPr="00687F30">
        <w:rPr>
          <w:rFonts w:asciiTheme="minorHAnsi" w:hAnsiTheme="minorHAnsi" w:cstheme="minorHAnsi"/>
          <w:color w:val="000000" w:themeColor="text1"/>
          <w:sz w:val="20"/>
          <w:szCs w:val="20"/>
        </w:rPr>
        <w:t xml:space="preserve"> </w:t>
      </w:r>
      <w:hyperlink r:id="rId29" w:history="1">
        <w:r w:rsidRPr="00687F30">
          <w:rPr>
            <w:rStyle w:val="Hyperlink"/>
            <w:rFonts w:asciiTheme="minorHAnsi" w:hAnsiTheme="minorHAnsi" w:cstheme="minorHAnsi"/>
            <w:sz w:val="20"/>
            <w:szCs w:val="20"/>
          </w:rPr>
          <w:t>https://www.health.gov.au/sites/default/files/national-drug-strategy-2017-2026.pdf</w:t>
        </w:r>
      </w:hyperlink>
      <w:r w:rsidRPr="00687F30">
        <w:rPr>
          <w:rFonts w:asciiTheme="minorHAnsi" w:hAnsiTheme="minorHAnsi" w:cstheme="minorHAnsi"/>
          <w:color w:val="000000" w:themeColor="text1"/>
          <w:sz w:val="20"/>
          <w:szCs w:val="20"/>
        </w:rPr>
        <w:t xml:space="preserve"> </w:t>
      </w:r>
    </w:p>
  </w:endnote>
  <w:endnote w:id="32">
    <w:p w14:paraId="34C5BC99" w14:textId="1CFAB015" w:rsidR="00894F38" w:rsidRPr="00687F30" w:rsidRDefault="00894F38" w:rsidP="00BC0A84">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World Health Organization. (2021). </w:t>
      </w:r>
      <w:r w:rsidRPr="00687F30">
        <w:rPr>
          <w:rFonts w:asciiTheme="minorHAnsi" w:hAnsiTheme="minorHAnsi" w:cstheme="minorHAnsi"/>
          <w:i/>
          <w:iCs/>
          <w:color w:val="000000" w:themeColor="text1"/>
        </w:rPr>
        <w:t>Global health sector strategies on HIV, viral hepatitis and sexually transmitted infections 2022-2030.</w:t>
      </w:r>
      <w:r w:rsidRPr="00687F30">
        <w:rPr>
          <w:rFonts w:asciiTheme="minorHAnsi" w:hAnsiTheme="minorHAnsi" w:cstheme="minorHAnsi"/>
          <w:color w:val="000000" w:themeColor="text1"/>
        </w:rPr>
        <w:t xml:space="preserve"> Accessed from:</w:t>
      </w:r>
      <w:r w:rsidRPr="00687F30">
        <w:rPr>
          <w:rFonts w:asciiTheme="minorHAnsi" w:hAnsiTheme="minorHAnsi" w:cstheme="minorHAnsi"/>
        </w:rPr>
        <w:t xml:space="preserve"> </w:t>
      </w:r>
      <w:hyperlink r:id="rId30" w:history="1">
        <w:r w:rsidRPr="00687F30">
          <w:rPr>
            <w:rStyle w:val="Hyperlink"/>
            <w:rFonts w:asciiTheme="minorHAnsi" w:hAnsiTheme="minorHAnsi" w:cstheme="minorHAnsi"/>
          </w:rPr>
          <w:t>https://www.who.int/teams/global-hiv-hepatitis-and-stis-programmes/strategies/global-health-sector-strategies</w:t>
        </w:r>
      </w:hyperlink>
    </w:p>
  </w:endnote>
  <w:endnote w:id="33">
    <w:p w14:paraId="3E49A72B" w14:textId="2E6516AA" w:rsidR="00894F38" w:rsidRPr="00687F30" w:rsidRDefault="00894F38" w:rsidP="00BA1F9E">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World Health Organization. (2021). </w:t>
      </w:r>
      <w:r w:rsidRPr="00687F30">
        <w:rPr>
          <w:rFonts w:asciiTheme="minorHAnsi" w:hAnsiTheme="minorHAnsi" w:cstheme="minorHAnsi"/>
          <w:i/>
          <w:iCs/>
          <w:color w:val="000000" w:themeColor="text1"/>
        </w:rPr>
        <w:t>Global Progress Report on HIV, viral hepatitis and sexually transmitted infections</w:t>
      </w:r>
      <w:r w:rsidRPr="00687F30">
        <w:rPr>
          <w:rFonts w:asciiTheme="minorHAnsi" w:hAnsiTheme="minorHAnsi" w:cstheme="minorHAnsi"/>
          <w:color w:val="000000" w:themeColor="text1"/>
        </w:rPr>
        <w:t xml:space="preserve">. Accessed from: </w:t>
      </w:r>
      <w:hyperlink r:id="rId31" w:history="1">
        <w:r w:rsidRPr="00687F30">
          <w:rPr>
            <w:rStyle w:val="Hyperlink"/>
            <w:rFonts w:asciiTheme="minorHAnsi" w:hAnsiTheme="minorHAnsi" w:cstheme="minorHAnsi"/>
          </w:rPr>
          <w:t>https://www.who.int/publications/i/item/9789240027077</w:t>
        </w:r>
      </w:hyperlink>
    </w:p>
  </w:endnote>
  <w:endnote w:id="34">
    <w:p w14:paraId="719AA9E0" w14:textId="41F4A964" w:rsidR="00894F38" w:rsidRPr="00D13ED0" w:rsidRDefault="00894F38" w:rsidP="00582330">
      <w:pPr>
        <w:pStyle w:val="EndnoteText"/>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3B2996">
        <w:rPr>
          <w:rFonts w:asciiTheme="minorHAnsi" w:hAnsiTheme="minorHAnsi" w:cstheme="minorHAnsi"/>
          <w:color w:val="000000" w:themeColor="text1"/>
        </w:rPr>
        <w:t xml:space="preserve">Department of Health and Aged Care. (2021). </w:t>
      </w:r>
      <w:r w:rsidRPr="003B2996">
        <w:rPr>
          <w:rFonts w:asciiTheme="minorHAnsi" w:hAnsiTheme="minorHAnsi" w:cstheme="minorHAnsi"/>
          <w:i/>
          <w:color w:val="000000" w:themeColor="text1"/>
        </w:rPr>
        <w:t>National Preventive Health Strategy 2021–2030</w:t>
      </w:r>
      <w:r w:rsidRPr="003B2996">
        <w:rPr>
          <w:rFonts w:asciiTheme="minorHAnsi" w:hAnsiTheme="minorHAnsi" w:cstheme="minorHAnsi"/>
          <w:color w:val="000000" w:themeColor="text1"/>
        </w:rPr>
        <w:t xml:space="preserve">. Accessed from: </w:t>
      </w:r>
      <w:hyperlink r:id="rId32" w:history="1">
        <w:r w:rsidRPr="00055843">
          <w:rPr>
            <w:rStyle w:val="Hyperlink"/>
            <w:rFonts w:asciiTheme="minorHAnsi" w:hAnsiTheme="minorHAnsi" w:cstheme="minorHAnsi"/>
          </w:rPr>
          <w:t>https://www.health.gov.au/resources/publications/national-preventive-health-strategy-2021-2030?language=en</w:t>
        </w:r>
      </w:hyperlink>
      <w:r>
        <w:rPr>
          <w:rFonts w:asciiTheme="minorHAnsi" w:hAnsiTheme="minorHAnsi" w:cstheme="minorHAnsi"/>
        </w:rPr>
        <w:t xml:space="preserve"> </w:t>
      </w:r>
    </w:p>
  </w:endnote>
  <w:endnote w:id="35">
    <w:p w14:paraId="48641457" w14:textId="77777777" w:rsidR="00894F38" w:rsidRPr="00687F30" w:rsidRDefault="00894F38" w:rsidP="00BA1F9E">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Commonwealth of Australia, Department of the Prime Minister and Cabinet. (2015). National Ice Action Strategy 2015. Department of the Prime Minister and Cabinet. </w:t>
      </w:r>
      <w:hyperlink r:id="rId33" w:history="1">
        <w:r w:rsidRPr="00687F30">
          <w:rPr>
            <w:rStyle w:val="Hyperlink"/>
            <w:rFonts w:asciiTheme="minorHAnsi" w:hAnsiTheme="minorHAnsi" w:cstheme="minorHAnsi"/>
            <w:sz w:val="20"/>
            <w:szCs w:val="20"/>
          </w:rPr>
          <w:t>https://web.archive.org.au/awa/20180313135651mp_/https:/www.coag.gov.au/sites/default/files/communique/2015%20National%20Ice%20Action%20Strategy.pdf</w:t>
        </w:r>
      </w:hyperlink>
      <w:r w:rsidRPr="00687F30">
        <w:rPr>
          <w:rFonts w:asciiTheme="minorHAnsi" w:hAnsiTheme="minorHAnsi" w:cstheme="minorHAnsi"/>
          <w:color w:val="000000" w:themeColor="text1"/>
          <w:sz w:val="20"/>
          <w:szCs w:val="20"/>
        </w:rPr>
        <w:t xml:space="preserve"> </w:t>
      </w:r>
    </w:p>
  </w:endnote>
  <w:endnote w:id="36">
    <w:p w14:paraId="2EAF8102" w14:textId="634193C6" w:rsidR="00894F38" w:rsidRPr="00687F30" w:rsidRDefault="00894F38">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Department of Health and Aged Care. (2022). </w:t>
      </w:r>
      <w:r w:rsidRPr="00687F30">
        <w:rPr>
          <w:rFonts w:asciiTheme="minorHAnsi" w:hAnsiTheme="minorHAnsi" w:cstheme="minorHAnsi"/>
          <w:i/>
          <w:iCs/>
        </w:rPr>
        <w:t>Australia’s Primary Health Care 10 Year Plan 2022–2032.</w:t>
      </w:r>
      <w:r w:rsidRPr="00687F30">
        <w:rPr>
          <w:rFonts w:asciiTheme="minorHAnsi" w:hAnsiTheme="minorHAnsi" w:cstheme="minorHAnsi"/>
        </w:rPr>
        <w:t xml:space="preserve">Accessed from: </w:t>
      </w:r>
      <w:hyperlink r:id="rId34" w:history="1">
        <w:r w:rsidRPr="00687F30">
          <w:rPr>
            <w:rStyle w:val="Hyperlink"/>
            <w:rFonts w:asciiTheme="minorHAnsi" w:hAnsiTheme="minorHAnsi" w:cstheme="minorHAnsi"/>
          </w:rPr>
          <w:t>https://www.health.gov.au/resources/publications/australias-primary-health-care-10-year-plan-2022-2032</w:t>
        </w:r>
      </w:hyperlink>
    </w:p>
  </w:endnote>
  <w:endnote w:id="37">
    <w:p w14:paraId="51DE1B4C" w14:textId="13CFB927" w:rsidR="00F47662" w:rsidRDefault="00F47662">
      <w:pPr>
        <w:pStyle w:val="EndnoteText"/>
      </w:pPr>
      <w:r>
        <w:rPr>
          <w:rStyle w:val="EndnoteReference"/>
        </w:rPr>
        <w:endnoteRef/>
      </w:r>
      <w:r>
        <w:t xml:space="preserve"> </w:t>
      </w:r>
      <w:hyperlink r:id="rId35" w:history="1">
        <w:r w:rsidRPr="00F47662">
          <w:rPr>
            <w:rStyle w:val="Hyperlink"/>
          </w:rPr>
          <w:t>www.amr.gov.au/resources/australias-national-antimicrobial-resistance-strategy-2020-and-beyond</w:t>
        </w:r>
      </w:hyperlink>
    </w:p>
  </w:endnote>
  <w:endnote w:id="38">
    <w:p w14:paraId="68FC5A0B" w14:textId="66539731" w:rsidR="00894F38" w:rsidRPr="003F5976" w:rsidRDefault="00894F38">
      <w:pPr>
        <w:pStyle w:val="EndnoteText"/>
        <w:rPr>
          <w:lang w:val="en-NZ"/>
        </w:rPr>
      </w:pPr>
      <w:r w:rsidRPr="003F5976">
        <w:rPr>
          <w:rStyle w:val="EndnoteReference"/>
          <w:rFonts w:asciiTheme="minorHAnsi" w:hAnsiTheme="minorHAnsi" w:cstheme="minorHAnsi"/>
        </w:rPr>
        <w:endnoteRef/>
      </w:r>
      <w:r w:rsidRPr="003F5976">
        <w:rPr>
          <w:rFonts w:asciiTheme="minorHAnsi" w:hAnsiTheme="minorHAnsi" w:cstheme="minorHAnsi"/>
        </w:rPr>
        <w:t xml:space="preserve"> </w:t>
      </w:r>
      <w:r w:rsidRPr="003F5976">
        <w:rPr>
          <w:rFonts w:asciiTheme="minorHAnsi" w:hAnsiTheme="minorHAnsi" w:cstheme="minorHAnsi"/>
          <w:lang w:val="en-NZ"/>
        </w:rPr>
        <w:t xml:space="preserve">United Nations. </w:t>
      </w:r>
      <w:r w:rsidRPr="003F5976">
        <w:rPr>
          <w:rFonts w:asciiTheme="minorHAnsi" w:hAnsiTheme="minorHAnsi" w:cstheme="minorHAnsi"/>
          <w:i/>
          <w:iCs/>
          <w:lang w:val="en-NZ"/>
        </w:rPr>
        <w:t>Transforming our world: the 2023 Agenda for Sustainable Development</w:t>
      </w:r>
      <w:r w:rsidRPr="003F5976">
        <w:rPr>
          <w:rFonts w:asciiTheme="minorHAnsi" w:hAnsiTheme="minorHAnsi" w:cstheme="minorHAnsi"/>
          <w:lang w:val="en-NZ"/>
        </w:rPr>
        <w:t xml:space="preserve">. Accessed from: </w:t>
      </w:r>
      <w:hyperlink r:id="rId36" w:history="1">
        <w:r w:rsidRPr="003F5976">
          <w:rPr>
            <w:rStyle w:val="Hyperlink"/>
            <w:rFonts w:asciiTheme="minorHAnsi" w:hAnsiTheme="minorHAnsi" w:cstheme="minorHAnsi"/>
            <w:lang w:val="en-NZ"/>
          </w:rPr>
          <w:t>https://sdgs.un.org/2030agenda</w:t>
        </w:r>
      </w:hyperlink>
    </w:p>
  </w:endnote>
  <w:endnote w:id="39">
    <w:p w14:paraId="6F4D2091" w14:textId="5B62A813" w:rsidR="00894F38" w:rsidRPr="00687F30" w:rsidRDefault="00894F38" w:rsidP="00BA1F9E">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Starrs AM, Ezeh AC, Barker G, Basu A, Bertrand JT, Blum R, et al. (2018). ‘Accelerate progress—sexual and reproductive health and rights for all: report of the Guttmacher– Lancet Commission’. </w:t>
      </w:r>
      <w:r w:rsidRPr="00687F30">
        <w:rPr>
          <w:rFonts w:asciiTheme="minorHAnsi" w:hAnsiTheme="minorHAnsi" w:cstheme="minorHAnsi"/>
          <w:i/>
          <w:iCs/>
          <w:color w:val="000000" w:themeColor="text1"/>
          <w:shd w:val="clear" w:color="auto" w:fill="FFFFFF"/>
        </w:rPr>
        <w:t>The Lancet [Internet]</w:t>
      </w:r>
      <w:r w:rsidRPr="00687F30">
        <w:rPr>
          <w:rFonts w:asciiTheme="minorHAnsi" w:hAnsiTheme="minorHAnsi" w:cstheme="minorHAnsi"/>
          <w:color w:val="000000" w:themeColor="text1"/>
          <w:shd w:val="clear" w:color="auto" w:fill="FFFFFF"/>
        </w:rPr>
        <w:t xml:space="preserve">. 391(10140):2642–92. Available from: </w:t>
      </w:r>
      <w:hyperlink r:id="rId37" w:history="1">
        <w:r w:rsidRPr="00687F30">
          <w:rPr>
            <w:rStyle w:val="Hyperlink"/>
            <w:rFonts w:asciiTheme="minorHAnsi" w:hAnsiTheme="minorHAnsi" w:cstheme="minorHAnsi"/>
            <w:shd w:val="clear" w:color="auto" w:fill="FFFFFF"/>
          </w:rPr>
          <w:t>https://www.thelancet.com/journals/lancet/article/PIIS0140-6736(18)30293-9/fulltext?elsca1=etoc</w:t>
        </w:r>
      </w:hyperlink>
      <w:r w:rsidRPr="00687F30">
        <w:rPr>
          <w:rFonts w:asciiTheme="minorHAnsi" w:hAnsiTheme="minorHAnsi" w:cstheme="minorHAnsi"/>
          <w:color w:val="000000" w:themeColor="text1"/>
          <w:shd w:val="clear" w:color="auto" w:fill="FFFFFF"/>
        </w:rPr>
        <w:t xml:space="preserve"> </w:t>
      </w:r>
    </w:p>
  </w:endnote>
  <w:endnote w:id="40">
    <w:p w14:paraId="5D0AB5B6" w14:textId="2EE8BC12" w:rsidR="00894F38" w:rsidRPr="00687F30" w:rsidRDefault="00894F38" w:rsidP="00BA1F9E">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World Health Organization. (2021). </w:t>
      </w:r>
      <w:r w:rsidRPr="00687F30">
        <w:rPr>
          <w:rFonts w:asciiTheme="minorHAnsi" w:hAnsiTheme="minorHAnsi" w:cstheme="minorHAnsi"/>
          <w:i/>
          <w:iCs/>
          <w:color w:val="000000" w:themeColor="text1"/>
        </w:rPr>
        <w:t>Global health sector strategies on HIV, viral hepatitis and sexually transmitted infections 2022-2030</w:t>
      </w:r>
      <w:r w:rsidRPr="00687F30">
        <w:rPr>
          <w:rFonts w:asciiTheme="minorHAnsi" w:hAnsiTheme="minorHAnsi" w:cstheme="minorHAnsi"/>
          <w:color w:val="000000" w:themeColor="text1"/>
        </w:rPr>
        <w:t>. Accessed from:</w:t>
      </w:r>
      <w:r w:rsidRPr="00687F30">
        <w:rPr>
          <w:rFonts w:asciiTheme="minorHAnsi" w:hAnsiTheme="minorHAnsi" w:cstheme="minorHAnsi"/>
        </w:rPr>
        <w:t xml:space="preserve"> </w:t>
      </w:r>
      <w:hyperlink r:id="rId38" w:history="1">
        <w:r w:rsidRPr="00687F30">
          <w:rPr>
            <w:rStyle w:val="Hyperlink"/>
            <w:rFonts w:asciiTheme="minorHAnsi" w:hAnsiTheme="minorHAnsi" w:cstheme="minorHAnsi"/>
          </w:rPr>
          <w:t>https://www.who.int/teams/global-hiv-hepatitis-and-stis-programmes/strategies/global-health-sector-strategies</w:t>
        </w:r>
      </w:hyperlink>
    </w:p>
  </w:endnote>
  <w:endnote w:id="41">
    <w:p w14:paraId="19BFC371" w14:textId="77777777" w:rsidR="00F15623" w:rsidRPr="00687F30" w:rsidRDefault="00F15623" w:rsidP="00F15623">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The Kirby Institute. (2022). HIV, viral hepatitis and sexually transmissible infections in Australia: Annual surveillance report 2021. Kirby Institute.</w:t>
      </w:r>
    </w:p>
  </w:endnote>
  <w:endnote w:id="42">
    <w:p w14:paraId="6CB994F3" w14:textId="77777777" w:rsidR="00F15623" w:rsidRPr="00687F30" w:rsidRDefault="00F15623" w:rsidP="00F15623">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The Kirby Institute. (2022). </w:t>
      </w:r>
      <w:r w:rsidRPr="00687F30">
        <w:rPr>
          <w:rFonts w:asciiTheme="minorHAnsi" w:hAnsiTheme="minorHAnsi" w:cstheme="minorHAnsi"/>
          <w:i/>
          <w:iCs/>
          <w:color w:val="000000" w:themeColor="text1"/>
          <w:sz w:val="20"/>
          <w:szCs w:val="20"/>
        </w:rPr>
        <w:t>HIV, viral hepatitis and sexually transmissible infections in Australia: Annual surveillance report 2021</w:t>
      </w:r>
      <w:r w:rsidRPr="00687F30">
        <w:rPr>
          <w:rFonts w:asciiTheme="minorHAnsi" w:hAnsiTheme="minorHAnsi" w:cstheme="minorHAnsi"/>
          <w:color w:val="000000" w:themeColor="text1"/>
          <w:sz w:val="20"/>
          <w:szCs w:val="20"/>
        </w:rPr>
        <w:t>. Kirby Institute.</w:t>
      </w:r>
    </w:p>
  </w:endnote>
  <w:endnote w:id="43">
    <w:p w14:paraId="6AF43BB5" w14:textId="77777777" w:rsidR="00894F38" w:rsidRPr="00687F30" w:rsidRDefault="00894F38" w:rsidP="007C5513">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The Kirby Institute. (2022). </w:t>
      </w:r>
      <w:r w:rsidRPr="00687F30">
        <w:rPr>
          <w:rFonts w:asciiTheme="minorHAnsi" w:hAnsiTheme="minorHAnsi" w:cstheme="minorHAnsi"/>
          <w:i/>
          <w:iCs/>
          <w:color w:val="000000" w:themeColor="text1"/>
          <w:sz w:val="20"/>
          <w:szCs w:val="20"/>
        </w:rPr>
        <w:t>HIV, viral hepatitis and sexually transmissible infections in Australia: Annual surveillance report 2021</w:t>
      </w:r>
      <w:r w:rsidRPr="00687F30">
        <w:rPr>
          <w:rFonts w:asciiTheme="minorHAnsi" w:hAnsiTheme="minorHAnsi" w:cstheme="minorHAnsi"/>
          <w:color w:val="000000" w:themeColor="text1"/>
          <w:sz w:val="20"/>
          <w:szCs w:val="20"/>
        </w:rPr>
        <w:t>. Kirby Institute.</w:t>
      </w:r>
    </w:p>
  </w:endnote>
  <w:endnote w:id="44">
    <w:p w14:paraId="186DD435" w14:textId="77777777" w:rsidR="00894F38" w:rsidRPr="00687F30" w:rsidRDefault="00894F38" w:rsidP="002E6DDF">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The Kirby Institute. (2022). </w:t>
      </w:r>
      <w:r w:rsidRPr="00687F30">
        <w:rPr>
          <w:rFonts w:asciiTheme="minorHAnsi" w:hAnsiTheme="minorHAnsi" w:cstheme="minorHAnsi"/>
          <w:i/>
          <w:iCs/>
        </w:rPr>
        <w:t>HIV, viral hepatitis and sexually transmissible infections in Australia: Annual surveillance report 2021</w:t>
      </w:r>
      <w:r w:rsidRPr="00687F30">
        <w:rPr>
          <w:rFonts w:asciiTheme="minorHAnsi" w:hAnsiTheme="minorHAnsi" w:cstheme="minorHAnsi"/>
        </w:rPr>
        <w:t>. Kirby Institute.</w:t>
      </w:r>
    </w:p>
  </w:endnote>
  <w:endnote w:id="45">
    <w:p w14:paraId="1E5A31E2" w14:textId="77777777" w:rsidR="00894F38" w:rsidRPr="00687F30" w:rsidRDefault="00894F38" w:rsidP="000E71D9">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National Centre for Immunisation Research and Surveillance. (2021). </w:t>
      </w:r>
      <w:r w:rsidRPr="00687F30">
        <w:rPr>
          <w:rFonts w:asciiTheme="minorHAnsi" w:hAnsiTheme="minorHAnsi" w:cstheme="minorHAnsi"/>
          <w:i/>
          <w:iCs/>
        </w:rPr>
        <w:t>Annual immunisation coverage report 2020</w:t>
      </w:r>
      <w:r w:rsidRPr="00687F30">
        <w:rPr>
          <w:rFonts w:asciiTheme="minorHAnsi" w:hAnsiTheme="minorHAnsi" w:cstheme="minorHAnsi"/>
        </w:rPr>
        <w:t>. https://www.ncirs.org.au/sites/default/files/2021-11/NCIRS%20Annual%20Immunisation%20Coverage%20report%202020.pdf</w:t>
      </w:r>
    </w:p>
  </w:endnote>
  <w:endnote w:id="46">
    <w:p w14:paraId="38DE1662" w14:textId="77777777" w:rsidR="00894F38" w:rsidRPr="00687F30" w:rsidRDefault="00894F38" w:rsidP="000E71D9">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The Kirby Institute. (2022). </w:t>
      </w:r>
      <w:r w:rsidRPr="00687F30">
        <w:rPr>
          <w:rFonts w:asciiTheme="minorHAnsi" w:hAnsiTheme="minorHAnsi" w:cstheme="minorHAnsi"/>
          <w:i/>
          <w:iCs/>
        </w:rPr>
        <w:t>HIV, viral hepatitis and sexually transmissible infections in Australia: Annual surveillance report 2021</w:t>
      </w:r>
      <w:r w:rsidRPr="00687F30">
        <w:rPr>
          <w:rFonts w:asciiTheme="minorHAnsi" w:hAnsiTheme="minorHAnsi" w:cstheme="minorHAnsi"/>
        </w:rPr>
        <w:t>. Kirby Institute.</w:t>
      </w:r>
    </w:p>
  </w:endnote>
  <w:endnote w:id="47">
    <w:p w14:paraId="1DA1E286" w14:textId="77777777" w:rsidR="00894F38" w:rsidRPr="00687F30" w:rsidRDefault="00894F38" w:rsidP="000E71D9">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The Kirby Institute. (2022). </w:t>
      </w:r>
      <w:r w:rsidRPr="00687F30">
        <w:rPr>
          <w:rFonts w:asciiTheme="minorHAnsi" w:hAnsiTheme="minorHAnsi" w:cstheme="minorHAnsi"/>
          <w:i/>
          <w:iCs/>
        </w:rPr>
        <w:t>HIV, viral hepatitis and sexually transmissible infections in Australia: Annual surveillance report 2021</w:t>
      </w:r>
      <w:r w:rsidRPr="00687F30">
        <w:rPr>
          <w:rFonts w:asciiTheme="minorHAnsi" w:hAnsiTheme="minorHAnsi" w:cstheme="minorHAnsi"/>
        </w:rPr>
        <w:t>. Kirby Institute.</w:t>
      </w:r>
    </w:p>
  </w:endnote>
  <w:endnote w:id="48">
    <w:p w14:paraId="05A04824" w14:textId="77777777" w:rsidR="00894F38" w:rsidRPr="00687F30" w:rsidRDefault="00894F38" w:rsidP="00775023">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The Kirby Institute. (2022). </w:t>
      </w:r>
      <w:r w:rsidRPr="00687F30">
        <w:rPr>
          <w:rFonts w:asciiTheme="minorHAnsi" w:hAnsiTheme="minorHAnsi" w:cstheme="minorHAnsi"/>
          <w:i/>
          <w:iCs/>
        </w:rPr>
        <w:t>HIV, viral hepatitis and sexually transmissible infections in Australia: Annual surveillance report 2021</w:t>
      </w:r>
      <w:r w:rsidRPr="00687F30">
        <w:rPr>
          <w:rFonts w:asciiTheme="minorHAnsi" w:hAnsiTheme="minorHAnsi" w:cstheme="minorHAnsi"/>
        </w:rPr>
        <w:t>. Kirby Institute.</w:t>
      </w:r>
    </w:p>
  </w:endnote>
  <w:endnote w:id="49">
    <w:p w14:paraId="1E07D741" w14:textId="11C28A47" w:rsidR="00894F38" w:rsidRPr="00687F30" w:rsidRDefault="00894F38" w:rsidP="00775023">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Mao, L., Broady, T., Holt, M., Newman, C., &amp; Treloar, C. (2021). </w:t>
      </w:r>
      <w:r w:rsidRPr="00687F30">
        <w:rPr>
          <w:rFonts w:asciiTheme="minorHAnsi" w:hAnsiTheme="minorHAnsi" w:cstheme="minorHAnsi"/>
          <w:i/>
          <w:iCs/>
        </w:rPr>
        <w:t>Annual Report of Trends in Behaviour 2021: HIV and STIs in Australia.</w:t>
      </w:r>
      <w:r w:rsidRPr="00687F30">
        <w:rPr>
          <w:rFonts w:asciiTheme="minorHAnsi" w:hAnsiTheme="minorHAnsi" w:cstheme="minorHAnsi"/>
        </w:rPr>
        <w:t xml:space="preserve"> UNSW Centre for Social Research in Health. </w:t>
      </w:r>
      <w:hyperlink r:id="rId39" w:history="1">
        <w:r w:rsidRPr="00055843">
          <w:rPr>
            <w:rStyle w:val="Hyperlink"/>
            <w:rFonts w:asciiTheme="minorHAnsi" w:hAnsiTheme="minorHAnsi" w:cstheme="minorHAnsi"/>
          </w:rPr>
          <w:t>http://unsworks.unsw.edu.au/fapi/datastream/unsworks:77139/bin8807976f-5af2-46c4-aee2-1eb3f8ac7e74?view=true&amp;xy=01</w:t>
        </w:r>
      </w:hyperlink>
      <w:r>
        <w:rPr>
          <w:rFonts w:asciiTheme="minorHAnsi" w:hAnsiTheme="minorHAnsi" w:cstheme="minorHAnsi"/>
        </w:rPr>
        <w:t xml:space="preserve"> </w:t>
      </w:r>
    </w:p>
  </w:endnote>
  <w:endnote w:id="50">
    <w:p w14:paraId="36A3800C" w14:textId="77777777" w:rsidR="00894F38" w:rsidRPr="00687F30" w:rsidRDefault="00894F38" w:rsidP="007C5513">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The Kirby Institute. (2022). </w:t>
      </w:r>
      <w:r w:rsidRPr="00687F30">
        <w:rPr>
          <w:rFonts w:asciiTheme="minorHAnsi" w:hAnsiTheme="minorHAnsi" w:cstheme="minorHAnsi"/>
          <w:i/>
          <w:iCs/>
          <w:color w:val="000000" w:themeColor="text1"/>
          <w:sz w:val="20"/>
          <w:szCs w:val="20"/>
        </w:rPr>
        <w:t>HIV, viral hepatitis and sexually transmissible infections in Australia: Annual surveillance report 20</w:t>
      </w:r>
      <w:r w:rsidRPr="00687F30">
        <w:rPr>
          <w:rFonts w:asciiTheme="minorHAnsi" w:hAnsiTheme="minorHAnsi" w:cstheme="minorHAnsi"/>
          <w:color w:val="000000" w:themeColor="text1"/>
          <w:sz w:val="20"/>
          <w:szCs w:val="20"/>
        </w:rPr>
        <w:t>21. Kirby Institute</w:t>
      </w:r>
    </w:p>
  </w:endnote>
  <w:endnote w:id="51">
    <w:p w14:paraId="206C7B7E" w14:textId="1502E89B" w:rsidR="00894F38" w:rsidRPr="00687F30" w:rsidRDefault="00894F38">
      <w:pPr>
        <w:pStyle w:val="EndnoteText"/>
        <w:rPr>
          <w:rFonts w:asciiTheme="minorHAnsi" w:hAnsiTheme="minorHAnsi" w:cstheme="minorHAnsi"/>
          <w:color w:val="000000" w:themeColor="text1"/>
          <w:lang w:val="en-US"/>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Australasian Society for HIV, Viral Hepatitis and Sexual Health Medicine. (2019). </w:t>
      </w:r>
      <w:r w:rsidRPr="00687F30">
        <w:rPr>
          <w:rFonts w:asciiTheme="minorHAnsi" w:hAnsiTheme="minorHAnsi" w:cstheme="minorHAnsi"/>
          <w:i/>
          <w:iCs/>
          <w:color w:val="000000" w:themeColor="text1"/>
        </w:rPr>
        <w:t>Guide to Australian HIV laws and policies for healthcare professionals</w:t>
      </w:r>
      <w:r w:rsidRPr="00687F30">
        <w:rPr>
          <w:rFonts w:asciiTheme="minorHAnsi" w:hAnsiTheme="minorHAnsi" w:cstheme="minorHAnsi"/>
          <w:color w:val="000000" w:themeColor="text1"/>
        </w:rPr>
        <w:t xml:space="preserve">. Accessed from: </w:t>
      </w:r>
      <w:hyperlink r:id="rId40" w:history="1">
        <w:r w:rsidRPr="00055843">
          <w:rPr>
            <w:rStyle w:val="Hyperlink"/>
            <w:rFonts w:asciiTheme="minorHAnsi" w:hAnsiTheme="minorHAnsi" w:cstheme="minorHAnsi"/>
          </w:rPr>
          <w:t>http://hivlegal.ashm.org.au</w:t>
        </w:r>
      </w:hyperlink>
      <w:r w:rsidRPr="00687F30">
        <w:rPr>
          <w:rFonts w:asciiTheme="minorHAnsi" w:hAnsiTheme="minorHAnsi" w:cstheme="minorHAnsi"/>
          <w:color w:val="000000" w:themeColor="text1"/>
        </w:rPr>
        <w:t>.</w:t>
      </w:r>
      <w:r>
        <w:rPr>
          <w:rFonts w:asciiTheme="minorHAnsi" w:hAnsiTheme="minorHAnsi" w:cstheme="minorHAnsi"/>
          <w:color w:val="000000" w:themeColor="text1"/>
        </w:rPr>
        <w:t xml:space="preserve"> </w:t>
      </w:r>
    </w:p>
  </w:endnote>
  <w:endnote w:id="52">
    <w:p w14:paraId="15D2D3D3" w14:textId="000AACF5" w:rsidR="00894F38" w:rsidRPr="00687F30" w:rsidRDefault="00894F38" w:rsidP="00BB211D">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Traeger M, Stoové M. (2022). ‘Why risk matters for STI control: who are those at greatest risk and how are they identified?’. </w:t>
      </w:r>
      <w:r w:rsidRPr="00687F30">
        <w:rPr>
          <w:rFonts w:asciiTheme="minorHAnsi" w:hAnsiTheme="minorHAnsi" w:cstheme="minorHAnsi"/>
          <w:i/>
          <w:iCs/>
          <w:color w:val="000000" w:themeColor="text1"/>
          <w:shd w:val="clear" w:color="auto" w:fill="FFFFFF"/>
        </w:rPr>
        <w:t>Sexual Health</w:t>
      </w:r>
      <w:r w:rsidRPr="00687F30">
        <w:rPr>
          <w:rFonts w:asciiTheme="minorHAnsi" w:hAnsiTheme="minorHAnsi" w:cstheme="minorHAnsi"/>
          <w:color w:val="000000" w:themeColor="text1"/>
          <w:shd w:val="clear" w:color="auto" w:fill="FFFFFF"/>
        </w:rPr>
        <w:t xml:space="preserve">. Accessed from: </w:t>
      </w:r>
      <w:hyperlink r:id="rId41" w:history="1">
        <w:r w:rsidRPr="00055843">
          <w:rPr>
            <w:rStyle w:val="Hyperlink"/>
            <w:rFonts w:asciiTheme="minorHAnsi" w:hAnsiTheme="minorHAnsi" w:cstheme="minorHAnsi"/>
            <w:shd w:val="clear" w:color="auto" w:fill="FFFFFF"/>
          </w:rPr>
          <w:t>https://pubmed.ncbi.nlm.nih.gov/35705518/</w:t>
        </w:r>
      </w:hyperlink>
      <w:r>
        <w:rPr>
          <w:rFonts w:asciiTheme="minorHAnsi" w:hAnsiTheme="minorHAnsi" w:cstheme="minorHAnsi"/>
          <w:color w:val="000000" w:themeColor="text1"/>
          <w:shd w:val="clear" w:color="auto" w:fill="FFFFFF"/>
        </w:rPr>
        <w:t xml:space="preserve"> </w:t>
      </w:r>
    </w:p>
  </w:endnote>
  <w:endnote w:id="53">
    <w:p w14:paraId="5414F142" w14:textId="499FBD88" w:rsidR="00894F38" w:rsidRPr="00687F30" w:rsidRDefault="00894F38" w:rsidP="00BB211D">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Horwitz R, Brener L, Marshall AD, Caruana T, Newman CE. (2022). Optimising community health services in Australia for populations affected by stigmatised infections: What do service users want? </w:t>
      </w:r>
      <w:r w:rsidRPr="00687F30">
        <w:rPr>
          <w:rFonts w:asciiTheme="minorHAnsi" w:hAnsiTheme="minorHAnsi" w:cstheme="minorHAnsi"/>
          <w:i/>
          <w:iCs/>
          <w:color w:val="000000" w:themeColor="text1"/>
          <w:shd w:val="clear" w:color="auto" w:fill="FFFFFF"/>
        </w:rPr>
        <w:t>Health &amp; Social Care in the Community</w:t>
      </w:r>
      <w:r w:rsidRPr="00687F30">
        <w:rPr>
          <w:rFonts w:asciiTheme="minorHAnsi" w:hAnsiTheme="minorHAnsi" w:cstheme="minorHAnsi"/>
          <w:color w:val="000000" w:themeColor="text1"/>
          <w:shd w:val="clear" w:color="auto" w:fill="FFFFFF"/>
        </w:rPr>
        <w:t>. Sep 30.</w:t>
      </w:r>
    </w:p>
  </w:endnote>
  <w:endnote w:id="54">
    <w:p w14:paraId="60DBD9DF" w14:textId="77777777" w:rsidR="00894F38" w:rsidRPr="00687F30" w:rsidRDefault="00894F38" w:rsidP="0037384D">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Traeger M, Stoové M. (2022). ‘Why risk matters for STI control: who are those at greatest risk and how are they identified?’. </w:t>
      </w:r>
      <w:r w:rsidRPr="00687F30">
        <w:rPr>
          <w:rFonts w:asciiTheme="minorHAnsi" w:hAnsiTheme="minorHAnsi" w:cstheme="minorHAnsi"/>
          <w:i/>
          <w:iCs/>
          <w:color w:val="000000" w:themeColor="text1"/>
          <w:shd w:val="clear" w:color="auto" w:fill="FFFFFF"/>
        </w:rPr>
        <w:t>Sexual Health</w:t>
      </w:r>
      <w:r w:rsidRPr="00687F30">
        <w:rPr>
          <w:rFonts w:asciiTheme="minorHAnsi" w:hAnsiTheme="minorHAnsi" w:cstheme="minorHAnsi"/>
          <w:color w:val="000000" w:themeColor="text1"/>
          <w:shd w:val="clear" w:color="auto" w:fill="FFFFFF"/>
        </w:rPr>
        <w:t>. Jun 16.</w:t>
      </w:r>
    </w:p>
  </w:endnote>
  <w:endnote w:id="55">
    <w:p w14:paraId="3340A767" w14:textId="0A099966" w:rsidR="00894F38" w:rsidRDefault="00894F38"/>
  </w:endnote>
  <w:endnote w:id="56">
    <w:p w14:paraId="6FBFD823" w14:textId="6EC665AC" w:rsidR="00894F38" w:rsidRPr="00687F30" w:rsidRDefault="00894F38" w:rsidP="00BB211D">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Centre for Social Research in Health. (2017). Stigma Indicators Monitoring Project Final Report. Accessed from: </w:t>
      </w:r>
      <w:hyperlink r:id="rId42" w:history="1">
        <w:r w:rsidRPr="00687F30">
          <w:rPr>
            <w:rStyle w:val="Hyperlink"/>
            <w:rFonts w:asciiTheme="minorHAnsi" w:hAnsiTheme="minorHAnsi" w:cstheme="minorHAnsi"/>
          </w:rPr>
          <w:t>https://www.unsw.edu.au/content/dam/pdfs/unsw-adobe-websites/arts-design-architecture/ada-faculty/csrh/2021-06-Stigma_Indicators_Monitoring_Project_Summary_Report.pdf</w:t>
        </w:r>
      </w:hyperlink>
    </w:p>
  </w:endnote>
  <w:endnote w:id="57">
    <w:p w14:paraId="69A2EC9A"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Thomas, J., Ditchman, N., &amp; Beedle, R. (2020). The impact of knowledge, self-efficacy, and stigma on STI testing intention among college students. Journal of American College Health, 1–11.</w:t>
      </w:r>
    </w:p>
  </w:endnote>
  <w:endnote w:id="58">
    <w:p w14:paraId="6538744C" w14:textId="77777777" w:rsidR="00894F38" w:rsidRPr="00687F30" w:rsidRDefault="00894F38" w:rsidP="0082510C">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Lobo, R., D’Costa, B., Forbes, L., &amp; Ward, J. (2020). Young Deadly Free: Impact evaluation of a sexual health youth peer education program in remote Australian communities. Sexual Health, 17(6), 547–547.</w:t>
      </w:r>
    </w:p>
  </w:endnote>
  <w:endnote w:id="59">
    <w:p w14:paraId="41D2650C" w14:textId="77777777" w:rsidR="00894F38" w:rsidRPr="00687F30" w:rsidRDefault="00894F38" w:rsidP="0082510C">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The Kirby Institute. (2022). </w:t>
      </w:r>
      <w:r w:rsidRPr="00687F30">
        <w:rPr>
          <w:rFonts w:asciiTheme="minorHAnsi" w:hAnsiTheme="minorHAnsi" w:cstheme="minorHAnsi"/>
          <w:i/>
          <w:iCs/>
          <w:color w:val="000000" w:themeColor="text1"/>
          <w:sz w:val="20"/>
          <w:szCs w:val="20"/>
        </w:rPr>
        <w:t>HIV, viral hepatitis and sexually transmissible infections in Australia: Annual surveillance report 2021</w:t>
      </w:r>
      <w:r w:rsidRPr="00687F30">
        <w:rPr>
          <w:rFonts w:asciiTheme="minorHAnsi" w:hAnsiTheme="minorHAnsi" w:cstheme="minorHAnsi"/>
          <w:color w:val="000000" w:themeColor="text1"/>
          <w:sz w:val="20"/>
          <w:szCs w:val="20"/>
        </w:rPr>
        <w:t>. Kirby Institute.</w:t>
      </w:r>
    </w:p>
  </w:endnote>
  <w:endnote w:id="60">
    <w:p w14:paraId="3F7B443E" w14:textId="77777777" w:rsidR="00894F38" w:rsidRPr="00687F30" w:rsidRDefault="00894F38" w:rsidP="0082510C">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Lobo, R., D’Costa, B., Forbes, L., &amp; Ward, J. (2020). ‘Young Deadly Free: Impact evaluation of a sexual health youth peer education program in remote Australian communities.’ </w:t>
      </w:r>
      <w:r w:rsidRPr="00687F30">
        <w:rPr>
          <w:rFonts w:asciiTheme="minorHAnsi" w:hAnsiTheme="minorHAnsi" w:cstheme="minorHAnsi"/>
          <w:i/>
          <w:iCs/>
          <w:color w:val="000000" w:themeColor="text1"/>
        </w:rPr>
        <w:t>Sexual Health</w:t>
      </w:r>
      <w:r w:rsidRPr="00687F30">
        <w:rPr>
          <w:rFonts w:asciiTheme="minorHAnsi" w:hAnsiTheme="minorHAnsi" w:cstheme="minorHAnsi"/>
          <w:color w:val="000000" w:themeColor="text1"/>
        </w:rPr>
        <w:t>, 17(6), 547–547.</w:t>
      </w:r>
    </w:p>
  </w:endnote>
  <w:endnote w:id="61">
    <w:p w14:paraId="76F5D1EA" w14:textId="77777777" w:rsidR="00894F38" w:rsidRPr="00687F30" w:rsidRDefault="00894F38" w:rsidP="0082510C">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Coombe J, Goller J, Vaisey A, Bourne C, Sanci L, Bateson D, Temple-Smith M, Hocking J. (2021). ‘New best practice guidance for general practice to reduce chlamydia-associated reproductive complications in women’. </w:t>
      </w:r>
      <w:r w:rsidRPr="00687F30">
        <w:rPr>
          <w:rFonts w:asciiTheme="minorHAnsi" w:hAnsiTheme="minorHAnsi" w:cstheme="minorHAnsi"/>
          <w:i/>
          <w:iCs/>
          <w:color w:val="000000" w:themeColor="text1"/>
          <w:shd w:val="clear" w:color="auto" w:fill="FFFFFF"/>
        </w:rPr>
        <w:t>Australian Journal of General Practice</w:t>
      </w:r>
      <w:r w:rsidRPr="00687F30">
        <w:rPr>
          <w:rFonts w:asciiTheme="minorHAnsi" w:hAnsiTheme="minorHAnsi" w:cstheme="minorHAnsi"/>
          <w:color w:val="000000" w:themeColor="text1"/>
          <w:shd w:val="clear" w:color="auto" w:fill="FFFFFF"/>
        </w:rPr>
        <w:t>. Feb 1;50(1/2):50-4.</w:t>
      </w:r>
    </w:p>
  </w:endnote>
  <w:endnote w:id="62">
    <w:p w14:paraId="700DA9C5"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See Australian STI Management Guidelines for Use in Primary Care, accessed </w:t>
      </w:r>
      <w:hyperlink r:id="rId43" w:history="1">
        <w:r w:rsidRPr="00687F30">
          <w:rPr>
            <w:rStyle w:val="Hyperlink"/>
            <w:rFonts w:asciiTheme="minorHAnsi" w:hAnsiTheme="minorHAnsi" w:cstheme="minorHAnsi"/>
            <w:color w:val="000000" w:themeColor="text1"/>
          </w:rPr>
          <w:t>https://sti.guidelines.org.au</w:t>
        </w:r>
      </w:hyperlink>
      <w:r w:rsidRPr="00687F30">
        <w:rPr>
          <w:rFonts w:asciiTheme="minorHAnsi" w:hAnsiTheme="minorHAnsi" w:cstheme="minorHAnsi"/>
          <w:color w:val="000000" w:themeColor="text1"/>
        </w:rPr>
        <w:t xml:space="preserve">, 20 March 2023. </w:t>
      </w:r>
    </w:p>
  </w:endnote>
  <w:endnote w:id="63">
    <w:p w14:paraId="5736D869"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Thompson, E. L., Griner, S. B., Galvin, A. M., Lowery, A. D., &amp; Lewis, M. A. (2021). ‘Correlates of STI testing among US young adults: Opportunities for prevention.’ </w:t>
      </w:r>
      <w:r w:rsidRPr="00687F30">
        <w:rPr>
          <w:rFonts w:asciiTheme="minorHAnsi" w:hAnsiTheme="minorHAnsi" w:cstheme="minorHAnsi"/>
          <w:i/>
          <w:iCs/>
          <w:color w:val="000000" w:themeColor="text1"/>
        </w:rPr>
        <w:t>Prevention Science</w:t>
      </w:r>
      <w:r w:rsidRPr="00687F30">
        <w:rPr>
          <w:rFonts w:asciiTheme="minorHAnsi" w:hAnsiTheme="minorHAnsi" w:cstheme="minorHAnsi"/>
          <w:color w:val="000000" w:themeColor="text1"/>
        </w:rPr>
        <w:t>. 22(2), 216–226.</w:t>
      </w:r>
    </w:p>
  </w:endnote>
  <w:endnote w:id="64">
    <w:p w14:paraId="6E191912" w14:textId="77777777" w:rsidR="00894F38" w:rsidRPr="00687F30" w:rsidRDefault="00894F38" w:rsidP="003770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Power, J., Kauer, S., Fisher, C., Chapman-Bellamy, R., &amp; Bourne, A. (2022). The 7th National Survey of Australian Secondary Students and Sexual Health 2021 (ARCSHS Monograph Series No. 133). Melbourne: The Australian Research Centre in Sex, Health and Society, La Trobe University.</w:t>
      </w:r>
    </w:p>
  </w:endnote>
  <w:endnote w:id="65">
    <w:p w14:paraId="53E3BB14"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Lobo, R., D’Costa, B., Forbes, L., &amp; Ward, J. (2020). Young Deadly Free: Impact evaluation of a sexual health youth peer education program in remote Australian communities. Sexual Health, 17(6), 547–547.</w:t>
      </w:r>
    </w:p>
  </w:endnote>
  <w:endnote w:id="66">
    <w:p w14:paraId="628CCBB3" w14:textId="23A1E2F3"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Kang M, Robards F, Luscombe G, Sanci L, Usherwood T. (2020). ‘The relationship between having a regular general practitioner (GP) and the experience of healthcare barriers: a cross-sectional study among young people in NSW, Australia, with oversampling from marginalised groups.’</w:t>
      </w:r>
      <w:r w:rsidRPr="00687F30">
        <w:rPr>
          <w:rFonts w:asciiTheme="minorHAnsi" w:hAnsiTheme="minorHAnsi" w:cstheme="minorHAnsi"/>
          <w:i/>
          <w:iCs/>
          <w:color w:val="000000" w:themeColor="text1"/>
        </w:rPr>
        <w:t>BMC Family Practice</w:t>
      </w:r>
      <w:r w:rsidRPr="00687F30">
        <w:rPr>
          <w:rFonts w:asciiTheme="minorHAnsi" w:hAnsiTheme="minorHAnsi" w:cstheme="minorHAnsi"/>
          <w:color w:val="000000" w:themeColor="text1"/>
        </w:rPr>
        <w:t>. Oct 28;21(1).</w:t>
      </w:r>
    </w:p>
  </w:endnote>
  <w:endnote w:id="67">
    <w:p w14:paraId="1B4938F7" w14:textId="595ED173" w:rsidR="00346113" w:rsidRPr="00B70B35" w:rsidRDefault="00474A8A" w:rsidP="00346113">
      <w:pPr>
        <w:pStyle w:val="EndnoteText"/>
        <w:rPr>
          <w:rFonts w:asciiTheme="minorHAnsi" w:hAnsiTheme="minorHAnsi" w:cstheme="minorHAnsi"/>
        </w:rPr>
      </w:pPr>
      <w:r w:rsidRPr="00B70B35">
        <w:rPr>
          <w:rStyle w:val="EndnoteReference"/>
          <w:rFonts w:asciiTheme="minorHAnsi" w:hAnsiTheme="minorHAnsi" w:cstheme="minorHAnsi"/>
        </w:rPr>
        <w:endnoteRef/>
      </w:r>
      <w:r w:rsidRPr="00B70B35">
        <w:rPr>
          <w:rFonts w:asciiTheme="minorHAnsi" w:hAnsiTheme="minorHAnsi" w:cstheme="minorHAnsi"/>
        </w:rPr>
        <w:t xml:space="preserve"> </w:t>
      </w:r>
      <w:r w:rsidR="00D45401" w:rsidRPr="00B70B35">
        <w:rPr>
          <w:rFonts w:asciiTheme="minorHAnsi" w:hAnsiTheme="minorHAnsi" w:cstheme="minorHAnsi"/>
        </w:rPr>
        <w:t>National Office for Child Safety</w:t>
      </w:r>
      <w:r w:rsidR="00796737" w:rsidRPr="00B70B35">
        <w:rPr>
          <w:rFonts w:asciiTheme="minorHAnsi" w:hAnsiTheme="minorHAnsi" w:cstheme="minorHAnsi"/>
        </w:rPr>
        <w:t xml:space="preserve">.(2021). </w:t>
      </w:r>
      <w:r w:rsidR="00346113" w:rsidRPr="00B70B35">
        <w:rPr>
          <w:rFonts w:asciiTheme="minorHAnsi" w:hAnsiTheme="minorHAnsi" w:cstheme="minorHAnsi"/>
        </w:rPr>
        <w:t>National Strategy to Prevent and Respond to Child Sexual Abuse</w:t>
      </w:r>
    </w:p>
    <w:p w14:paraId="49A1914B" w14:textId="1C10E2DE" w:rsidR="00474A8A" w:rsidRDefault="00346113" w:rsidP="001E58DF">
      <w:pPr>
        <w:pStyle w:val="EndnoteText"/>
      </w:pPr>
      <w:r w:rsidRPr="00B70B35">
        <w:rPr>
          <w:rFonts w:asciiTheme="minorHAnsi" w:hAnsiTheme="minorHAnsi" w:cstheme="minorHAnsi"/>
        </w:rPr>
        <w:t>2021–2030</w:t>
      </w:r>
      <w:r w:rsidR="001E58DF" w:rsidRPr="00B70B35">
        <w:rPr>
          <w:rFonts w:asciiTheme="minorHAnsi" w:hAnsiTheme="minorHAnsi" w:cstheme="minorHAnsi"/>
        </w:rPr>
        <w:t xml:space="preserve"> An initiative of the Australian, state and territory governments</w:t>
      </w:r>
      <w:r w:rsidR="00FB4171">
        <w:rPr>
          <w:rFonts w:asciiTheme="minorHAnsi" w:hAnsiTheme="minorHAnsi" w:cstheme="minorHAnsi"/>
        </w:rPr>
        <w:t xml:space="preserve">. </w:t>
      </w:r>
      <w:r w:rsidR="00CE20ED">
        <w:rPr>
          <w:rFonts w:asciiTheme="minorHAnsi" w:hAnsiTheme="minorHAnsi" w:cstheme="minorHAnsi"/>
        </w:rPr>
        <w:t>A</w:t>
      </w:r>
      <w:r w:rsidR="00FB4171">
        <w:rPr>
          <w:rFonts w:asciiTheme="minorHAnsi" w:hAnsiTheme="minorHAnsi" w:cstheme="minorHAnsi"/>
        </w:rPr>
        <w:t>ccessed at</w:t>
      </w:r>
      <w:r w:rsidR="00D45401" w:rsidRPr="00B70B35">
        <w:rPr>
          <w:rFonts w:asciiTheme="minorHAnsi" w:hAnsiTheme="minorHAnsi" w:cstheme="minorHAnsi"/>
        </w:rPr>
        <w:t xml:space="preserve"> </w:t>
      </w:r>
      <w:hyperlink r:id="rId44" w:history="1">
        <w:r w:rsidR="00474A8A" w:rsidRPr="00B70B35">
          <w:rPr>
            <w:rStyle w:val="Hyperlink"/>
            <w:rFonts w:asciiTheme="minorHAnsi" w:hAnsiTheme="minorHAnsi" w:cstheme="minorHAnsi"/>
          </w:rPr>
          <w:t>National Strategy to Prevent and Respond to Child Sexual Abuse 2021-2030 (childsafety.gov.au)</w:t>
        </w:r>
      </w:hyperlink>
    </w:p>
  </w:endnote>
  <w:endnote w:id="68">
    <w:p w14:paraId="1161BFA5" w14:textId="53A5EB1F" w:rsidR="005D7228" w:rsidRPr="00B70B35" w:rsidRDefault="005D7228">
      <w:pPr>
        <w:pStyle w:val="EndnoteText"/>
        <w:rPr>
          <w:rFonts w:asciiTheme="minorHAnsi" w:hAnsiTheme="minorHAnsi" w:cstheme="minorHAnsi"/>
        </w:rPr>
      </w:pPr>
      <w:r w:rsidRPr="00B70B35">
        <w:rPr>
          <w:rStyle w:val="EndnoteReference"/>
          <w:rFonts w:asciiTheme="minorHAnsi" w:hAnsiTheme="minorHAnsi" w:cstheme="minorHAnsi"/>
        </w:rPr>
        <w:endnoteRef/>
      </w:r>
      <w:r w:rsidRPr="00B70B35">
        <w:rPr>
          <w:rFonts w:asciiTheme="minorHAnsi" w:hAnsiTheme="minorHAnsi" w:cstheme="minorHAnsi"/>
        </w:rPr>
        <w:t xml:space="preserve"> </w:t>
      </w:r>
      <w:r w:rsidR="00B7220F" w:rsidRPr="00B70B35">
        <w:rPr>
          <w:rFonts w:asciiTheme="minorHAnsi" w:hAnsiTheme="minorHAnsi" w:cstheme="minorHAnsi"/>
        </w:rPr>
        <w:t>Australian Human Rights Commission</w:t>
      </w:r>
      <w:r w:rsidR="00CE6885" w:rsidRPr="00B70B35">
        <w:rPr>
          <w:rFonts w:asciiTheme="minorHAnsi" w:hAnsiTheme="minorHAnsi" w:cstheme="minorHAnsi"/>
        </w:rPr>
        <w:t>. (2007)</w:t>
      </w:r>
      <w:r w:rsidR="00E81D69" w:rsidRPr="00B70B35">
        <w:rPr>
          <w:rFonts w:asciiTheme="minorHAnsi" w:hAnsiTheme="minorHAnsi" w:cstheme="minorHAnsi"/>
        </w:rPr>
        <w:t>. Social determinants and the health of Indigenous peoples in Australia – a human rights based approach</w:t>
      </w:r>
      <w:r w:rsidR="005A728D" w:rsidRPr="00B70B35">
        <w:rPr>
          <w:rFonts w:asciiTheme="minorHAnsi" w:hAnsiTheme="minorHAnsi" w:cstheme="minorHAnsi"/>
        </w:rPr>
        <w:t xml:space="preserve"> – workshop paper. Accessed at </w:t>
      </w:r>
      <w:hyperlink r:id="rId45" w:history="1">
        <w:r w:rsidR="004B3214" w:rsidRPr="00B70B35">
          <w:rPr>
            <w:rStyle w:val="Hyperlink"/>
            <w:rFonts w:asciiTheme="minorHAnsi" w:hAnsiTheme="minorHAnsi" w:cstheme="minorHAnsi"/>
          </w:rPr>
          <w:t>Social determinants and the health of Indigenous peoples in Australia – a human rights based approach | Australian Human Rights Commission</w:t>
        </w:r>
      </w:hyperlink>
    </w:p>
  </w:endnote>
  <w:endnote w:id="69">
    <w:p w14:paraId="79DDB388" w14:textId="4D53F7F7" w:rsidR="009C4FA5" w:rsidRDefault="009C4FA5">
      <w:pPr>
        <w:pStyle w:val="EndnoteText"/>
      </w:pPr>
      <w:r>
        <w:rPr>
          <w:rStyle w:val="EndnoteReference"/>
        </w:rPr>
        <w:endnoteRef/>
      </w:r>
      <w:r>
        <w:t xml:space="preserve"> </w:t>
      </w:r>
      <w:r w:rsidR="00CD654F">
        <w:t>Australian Institute of Health and Welfare, Profile of First Nations people</w:t>
      </w:r>
      <w:r w:rsidR="00D11111">
        <w:t xml:space="preserve">, 7 September 2023, accessed at: </w:t>
      </w:r>
      <w:r w:rsidRPr="009C4FA5">
        <w:t>https://www.aihw.gov.au/reports/australias-welfare/profile-of-indigenous-australians</w:t>
      </w:r>
    </w:p>
  </w:endnote>
  <w:endnote w:id="70">
    <w:p w14:paraId="34F4A6CB" w14:textId="47DBB1DF"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Wand H, Reilly R, McKetin R, Quinn B, Roe Y, Conigrave K, Ezard N, Butt J, Treloar C, Sivak L, Dunlop A. (2023). ‘Investigating associations between methamphetamine use, mental health and risky sexual behaviours amongst Aboriginal and Torres Strait Islander peoples.’ </w:t>
      </w:r>
      <w:r w:rsidRPr="00687F30">
        <w:rPr>
          <w:rFonts w:asciiTheme="minorHAnsi" w:hAnsiTheme="minorHAnsi" w:cstheme="minorHAnsi"/>
          <w:i/>
          <w:iCs/>
          <w:color w:val="000000" w:themeColor="text1"/>
          <w:shd w:val="clear" w:color="auto" w:fill="FFFFFF"/>
        </w:rPr>
        <w:t>Mental Health &amp; Prevention</w:t>
      </w:r>
      <w:r w:rsidRPr="00687F30">
        <w:rPr>
          <w:rFonts w:asciiTheme="minorHAnsi" w:hAnsiTheme="minorHAnsi" w:cstheme="minorHAnsi"/>
          <w:color w:val="000000" w:themeColor="text1"/>
          <w:shd w:val="clear" w:color="auto" w:fill="FFFFFF"/>
        </w:rPr>
        <w:t>. Mar 10:200267.</w:t>
      </w:r>
    </w:p>
  </w:endnote>
  <w:endnote w:id="71">
    <w:p w14:paraId="28AF856D" w14:textId="470F18A8" w:rsidR="00894F38" w:rsidRPr="00687F30" w:rsidRDefault="00894F38" w:rsidP="00377099">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Australian Government Department of Health and Aged Care. (2019). Pregnancy Care Guidelines – Syphilis.   Accessed at </w:t>
      </w:r>
      <w:hyperlink r:id="rId46" w:history="1">
        <w:r w:rsidRPr="00055843">
          <w:rPr>
            <w:rStyle w:val="Hyperlink"/>
            <w:rFonts w:asciiTheme="minorHAnsi" w:hAnsiTheme="minorHAnsi" w:cstheme="minorHAnsi"/>
          </w:rPr>
          <w:t>https://www.health.gov.au/resources/pregnancy-care-guidelines/part-f-routine-maternal-health-tests/syphilis</w:t>
        </w:r>
      </w:hyperlink>
      <w:r>
        <w:rPr>
          <w:rFonts w:asciiTheme="minorHAnsi" w:hAnsiTheme="minorHAnsi" w:cstheme="minorHAnsi"/>
        </w:rPr>
        <w:t xml:space="preserve"> </w:t>
      </w:r>
    </w:p>
  </w:endnote>
  <w:endnote w:id="72">
    <w:p w14:paraId="126C13AC" w14:textId="678CC1C4" w:rsidR="00894F38" w:rsidRPr="00687F30" w:rsidRDefault="00894F38" w:rsidP="00854723">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According to the National Syphilis Surveillance Quarterly Report, 1 July – 30 September 2022. Accessed at </w:t>
      </w:r>
      <w:hyperlink r:id="rId47" w:history="1">
        <w:r w:rsidRPr="00055843">
          <w:rPr>
            <w:rStyle w:val="Hyperlink"/>
            <w:rFonts w:asciiTheme="minorHAnsi" w:hAnsiTheme="minorHAnsi" w:cstheme="minorHAnsi"/>
          </w:rPr>
          <w:t>https://www.health.gov.au/resources/publications/national-syphilis-surveillance-quarterly-report-july-to-september-2022?language=en</w:t>
        </w:r>
      </w:hyperlink>
      <w:r>
        <w:rPr>
          <w:rFonts w:asciiTheme="minorHAnsi" w:hAnsiTheme="minorHAnsi" w:cstheme="minorHAnsi"/>
          <w:color w:val="000000" w:themeColor="text1"/>
        </w:rPr>
        <w:t xml:space="preserve"> </w:t>
      </w:r>
    </w:p>
  </w:endnote>
  <w:endnote w:id="73">
    <w:p w14:paraId="573B6515" w14:textId="13A10508" w:rsidR="00894F38" w:rsidRPr="00687F30" w:rsidRDefault="00894F38" w:rsidP="00854723">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Australian Government Department of Health and Aged Care. (2019). Pregnancy Care Guidelines – Syphilis.   Accessed at </w:t>
      </w:r>
      <w:hyperlink r:id="rId48" w:history="1">
        <w:r w:rsidRPr="00055843">
          <w:rPr>
            <w:rStyle w:val="Hyperlink"/>
            <w:rFonts w:asciiTheme="minorHAnsi" w:hAnsiTheme="minorHAnsi" w:cstheme="minorHAnsi"/>
          </w:rPr>
          <w:t>https://www.health.gov.au/resources/pregnancy-care-guidelines/part-f-routine-maternal-health-tests/syphilis</w:t>
        </w:r>
      </w:hyperlink>
      <w:r>
        <w:rPr>
          <w:rFonts w:asciiTheme="minorHAnsi" w:hAnsiTheme="minorHAnsi" w:cstheme="minorHAnsi"/>
        </w:rPr>
        <w:t xml:space="preserve"> </w:t>
      </w:r>
    </w:p>
  </w:endnote>
  <w:endnote w:id="74">
    <w:p w14:paraId="0B53D6C4"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Lobo, R., D’Costa, B., Forbes, L., &amp; Ward, J. (2020). Young Deadly Free: Impact evaluation of a sexual health youth peer education program in remote Australian communities. Sexual Health, 17(6), 547–547.</w:t>
      </w:r>
    </w:p>
  </w:endnote>
  <w:endnote w:id="75">
    <w:p w14:paraId="6922AFE1" w14:textId="77777777" w:rsidR="00894F38" w:rsidRPr="00687F30" w:rsidRDefault="00894F38" w:rsidP="00C272C3">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eastAsiaTheme="minorEastAsia" w:hAnsiTheme="minorHAnsi" w:cstheme="minorHAnsi"/>
          <w:color w:val="000000" w:themeColor="text1"/>
        </w:rPr>
        <w:t>Increased from 37% in 2012 to 47% in 2021.</w:t>
      </w:r>
    </w:p>
  </w:endnote>
  <w:endnote w:id="76">
    <w:p w14:paraId="72C24BC3" w14:textId="77777777" w:rsidR="00894F38" w:rsidRPr="00687F30" w:rsidRDefault="00894F38" w:rsidP="00C272C3">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The Kirby Institute. (2022). HIV, viral hepatitis and sexually transmissible infections in Australia: Annual surveillance report 2021. Kirby Institute.</w:t>
      </w:r>
    </w:p>
  </w:endnote>
  <w:endnote w:id="77">
    <w:p w14:paraId="68FDB46D" w14:textId="6A8A9D8C" w:rsidR="00892EAE" w:rsidRDefault="00892EAE">
      <w:pPr>
        <w:pStyle w:val="EndnoteText"/>
      </w:pPr>
      <w:r>
        <w:rPr>
          <w:rStyle w:val="EndnoteReference"/>
        </w:rPr>
        <w:endnoteRef/>
      </w:r>
      <w:r>
        <w:t xml:space="preserve"> Australian Institi</w:t>
      </w:r>
      <w:r w:rsidR="002A40AE">
        <w:t>tute of Family Studies</w:t>
      </w:r>
      <w:r w:rsidR="00D3014E">
        <w:t xml:space="preserve"> (2018)</w:t>
      </w:r>
      <w:r w:rsidR="002A40AE">
        <w:t>, Intimate partner violence in Australian refugee communities, CFCA PAPER NO. 50</w:t>
      </w:r>
      <w:r w:rsidR="00D3014E">
        <w:t>, Accessed at:</w:t>
      </w:r>
      <w:r>
        <w:t xml:space="preserve"> </w:t>
      </w:r>
      <w:r w:rsidRPr="00892EAE">
        <w:t>https://aifs.gov.au/sites/default/files/publication-documents/50_intimate_partner_violence_in_australian_refugee_communities_0.pdf</w:t>
      </w:r>
    </w:p>
  </w:endnote>
  <w:endnote w:id="78">
    <w:p w14:paraId="7609198B" w14:textId="77777777" w:rsidR="00894F38" w:rsidRPr="00687F30" w:rsidRDefault="00894F38" w:rsidP="00C272C3">
      <w:pPr>
        <w:pStyle w:val="EndnoteText"/>
        <w:rPr>
          <w:rFonts w:asciiTheme="minorHAnsi" w:hAnsiTheme="minorHAnsi" w:cstheme="minorHAnsi"/>
          <w:color w:val="000000" w:themeColor="text1"/>
          <w:lang w:val="en-US"/>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Okeke SR. (2022). “It was protected, except, it wasn’t [with] a condom": a mixed-methods study of BBVs/STI protective practices among International University Students in Sydney, Australia. </w:t>
      </w:r>
      <w:r w:rsidRPr="00687F30">
        <w:rPr>
          <w:rFonts w:asciiTheme="minorHAnsi" w:hAnsiTheme="minorHAnsi" w:cstheme="minorHAnsi"/>
          <w:i/>
          <w:iCs/>
          <w:color w:val="000000" w:themeColor="text1"/>
          <w:shd w:val="clear" w:color="auto" w:fill="FFFFFF"/>
        </w:rPr>
        <w:t>BMC Public Health</w:t>
      </w:r>
      <w:r w:rsidRPr="00687F30">
        <w:rPr>
          <w:rFonts w:asciiTheme="minorHAnsi" w:hAnsiTheme="minorHAnsi" w:cstheme="minorHAnsi"/>
          <w:color w:val="000000" w:themeColor="text1"/>
          <w:shd w:val="clear" w:color="auto" w:fill="FFFFFF"/>
        </w:rPr>
        <w:t>. Dec;22(1):1-6.</w:t>
      </w:r>
    </w:p>
  </w:endnote>
  <w:endnote w:id="79">
    <w:p w14:paraId="30BED1A2"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Vujcich D, Reid A, Brown G, Durham J, Guy R, Hartley L, Mao L, Mullens AB, Roberts M, Lobo R. (2023). ‘HIV-Related Knowledge and Practices among Asian and African Migrants Living in Australia: Results from a Cross-Sectional Survey and Qualitative Study’.</w:t>
      </w:r>
      <w:r w:rsidRPr="00687F30">
        <w:rPr>
          <w:rFonts w:asciiTheme="minorHAnsi" w:hAnsiTheme="minorHAnsi" w:cstheme="minorHAnsi"/>
          <w:i/>
          <w:iCs/>
          <w:color w:val="000000" w:themeColor="text1"/>
          <w:shd w:val="clear" w:color="auto" w:fill="FFFFFF"/>
        </w:rPr>
        <w:t xml:space="preserve"> International Journal of Environmental Research and Public Health</w:t>
      </w:r>
      <w:r w:rsidRPr="00687F30">
        <w:rPr>
          <w:rFonts w:asciiTheme="minorHAnsi" w:hAnsiTheme="minorHAnsi" w:cstheme="minorHAnsi"/>
          <w:color w:val="000000" w:themeColor="text1"/>
          <w:shd w:val="clear" w:color="auto" w:fill="FFFFFF"/>
        </w:rPr>
        <w:t>. Feb 28;20(5):4347.</w:t>
      </w:r>
    </w:p>
  </w:endnote>
  <w:endnote w:id="80">
    <w:p w14:paraId="237D0F31"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Okeke SR. (2022).“It was protected, except, it wasn’t [with] a condom": a mixed-methods study of BBVs/STI protective practices among International University Students in Sydney, Australia. </w:t>
      </w:r>
      <w:r w:rsidRPr="00687F30">
        <w:rPr>
          <w:rFonts w:asciiTheme="minorHAnsi" w:hAnsiTheme="minorHAnsi" w:cstheme="minorHAnsi"/>
          <w:i/>
          <w:iCs/>
          <w:color w:val="000000" w:themeColor="text1"/>
          <w:shd w:val="clear" w:color="auto" w:fill="FFFFFF"/>
        </w:rPr>
        <w:t>BMC Public Health</w:t>
      </w:r>
      <w:r w:rsidRPr="00687F30">
        <w:rPr>
          <w:rFonts w:asciiTheme="minorHAnsi" w:hAnsiTheme="minorHAnsi" w:cstheme="minorHAnsi"/>
          <w:color w:val="000000" w:themeColor="text1"/>
          <w:shd w:val="clear" w:color="auto" w:fill="FFFFFF"/>
        </w:rPr>
        <w:t>. Dec;22(1):1-6.</w:t>
      </w:r>
    </w:p>
  </w:endnote>
  <w:endnote w:id="81">
    <w:p w14:paraId="5874FE13" w14:textId="53B34DE4" w:rsidR="00894F38" w:rsidRPr="00687F30" w:rsidRDefault="00894F38" w:rsidP="00C272C3">
      <w:pPr>
        <w:pStyle w:val="EndnoteText"/>
        <w:rPr>
          <w:rFonts w:asciiTheme="minorHAnsi" w:hAnsiTheme="minorHAnsi" w:cstheme="minorHAnsi"/>
          <w:color w:val="000000" w:themeColor="text1"/>
          <w:lang w:val="en-US"/>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Douglass, C. H., Qin, C., Martin, F., Xiao, Y., El-Hayek, C., &amp; Lim, M. S. (2020). </w:t>
      </w:r>
      <w:r>
        <w:rPr>
          <w:rFonts w:asciiTheme="minorHAnsi" w:hAnsiTheme="minorHAnsi" w:cstheme="minorHAnsi"/>
          <w:color w:val="000000" w:themeColor="text1"/>
        </w:rPr>
        <w:t>‘</w:t>
      </w:r>
      <w:r w:rsidRPr="00687F30">
        <w:rPr>
          <w:rFonts w:asciiTheme="minorHAnsi" w:hAnsiTheme="minorHAnsi" w:cstheme="minorHAnsi"/>
          <w:color w:val="000000" w:themeColor="text1"/>
        </w:rPr>
        <w:t>Comparing sexual behaviours and knowledge between domestic students and Chinese international students in Australia: Findings from two cross-sectional studies</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87F30">
        <w:rPr>
          <w:rFonts w:asciiTheme="minorHAnsi" w:hAnsiTheme="minorHAnsi" w:cstheme="minorHAnsi"/>
          <w:i/>
          <w:iCs/>
          <w:color w:val="000000" w:themeColor="text1"/>
        </w:rPr>
        <w:t>International Journal of STD &amp; AIDS</w:t>
      </w:r>
      <w:r w:rsidRPr="00687F30">
        <w:rPr>
          <w:rFonts w:asciiTheme="minorHAnsi" w:hAnsiTheme="minorHAnsi" w:cstheme="minorHAnsi"/>
          <w:color w:val="000000" w:themeColor="text1"/>
        </w:rPr>
        <w:t>. 31(8), 781–790.</w:t>
      </w:r>
    </w:p>
  </w:endnote>
  <w:endnote w:id="82">
    <w:p w14:paraId="1B441511" w14:textId="59291505" w:rsidR="00894F38" w:rsidRPr="00687F30" w:rsidRDefault="00894F38" w:rsidP="00C272C3">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Douglass, C. H., Qin, C., Martin, F., Xiao, Y., El-Hayek, C., &amp; Lim, M. S. (2020). </w:t>
      </w:r>
      <w:r>
        <w:rPr>
          <w:rFonts w:asciiTheme="minorHAnsi" w:hAnsiTheme="minorHAnsi" w:cstheme="minorHAnsi"/>
          <w:color w:val="000000" w:themeColor="text1"/>
        </w:rPr>
        <w:t>‘</w:t>
      </w:r>
      <w:r w:rsidRPr="00687F30">
        <w:rPr>
          <w:rFonts w:asciiTheme="minorHAnsi" w:hAnsiTheme="minorHAnsi" w:cstheme="minorHAnsi"/>
          <w:color w:val="000000" w:themeColor="text1"/>
        </w:rPr>
        <w:t>Comparing sexual behaviours and knowledge between domestic students and Chinese international students in Australia: Findings from two cross-sectional studies</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87F30">
        <w:rPr>
          <w:rFonts w:asciiTheme="minorHAnsi" w:hAnsiTheme="minorHAnsi" w:cstheme="minorHAnsi"/>
          <w:i/>
          <w:iCs/>
          <w:color w:val="000000" w:themeColor="text1"/>
        </w:rPr>
        <w:t>International Journal of STD &amp; AIDS</w:t>
      </w:r>
      <w:r w:rsidRPr="00687F30">
        <w:rPr>
          <w:rFonts w:asciiTheme="minorHAnsi" w:hAnsiTheme="minorHAnsi" w:cstheme="minorHAnsi"/>
          <w:color w:val="000000" w:themeColor="text1"/>
        </w:rPr>
        <w:t>. 31(8), 781–790.</w:t>
      </w:r>
    </w:p>
  </w:endnote>
  <w:endnote w:id="83">
    <w:p w14:paraId="1DE8F1D0" w14:textId="2F420644" w:rsidR="00894F38" w:rsidRPr="00687F30" w:rsidRDefault="00894F38" w:rsidP="00C272C3">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Engstrom, T., Waller, M., Mullens, A. B., Durham, J., Debattista, J., Wenham, K., Bell, S. F., Ariana, A., Gu, Z., &amp; Daken, K. (2021). </w:t>
      </w:r>
      <w:r>
        <w:rPr>
          <w:rFonts w:asciiTheme="minorHAnsi" w:hAnsiTheme="minorHAnsi" w:cstheme="minorHAnsi"/>
          <w:color w:val="000000" w:themeColor="text1"/>
        </w:rPr>
        <w:t>‘</w:t>
      </w:r>
      <w:r w:rsidRPr="00687F30">
        <w:rPr>
          <w:rFonts w:asciiTheme="minorHAnsi" w:hAnsiTheme="minorHAnsi" w:cstheme="minorHAnsi"/>
          <w:color w:val="000000" w:themeColor="text1"/>
        </w:rPr>
        <w:t>STI and HIV knowledge and testing: A comparison of domestic Australian-born, domestic overseas-born and international university students in Australia</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87F30">
        <w:rPr>
          <w:rFonts w:asciiTheme="minorHAnsi" w:hAnsiTheme="minorHAnsi" w:cstheme="minorHAnsi"/>
          <w:i/>
          <w:iCs/>
          <w:color w:val="000000" w:themeColor="text1"/>
        </w:rPr>
        <w:t>Sexual Health</w:t>
      </w:r>
      <w:r w:rsidRPr="00687F30">
        <w:rPr>
          <w:rFonts w:asciiTheme="minorHAnsi" w:hAnsiTheme="minorHAnsi" w:cstheme="minorHAnsi"/>
          <w:color w:val="000000" w:themeColor="text1"/>
        </w:rPr>
        <w:t>. 18(4), 346–348.</w:t>
      </w:r>
    </w:p>
  </w:endnote>
  <w:endnote w:id="84">
    <w:p w14:paraId="5CC0B1B1" w14:textId="414890F8" w:rsidR="00894F38" w:rsidRPr="00687F30" w:rsidRDefault="00894F38" w:rsidP="00647212">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Centre for Social Research in Health, S. A. (2020). </w:t>
      </w:r>
      <w:r w:rsidRPr="00687F30">
        <w:rPr>
          <w:rFonts w:asciiTheme="minorHAnsi" w:hAnsiTheme="minorHAnsi" w:cstheme="minorHAnsi"/>
          <w:i/>
          <w:iCs/>
        </w:rPr>
        <w:t>Stigma Indicators Monitoring Project: Sex Workers.</w:t>
      </w:r>
      <w:r w:rsidRPr="00687F30">
        <w:rPr>
          <w:rFonts w:asciiTheme="minorHAnsi" w:hAnsiTheme="minorHAnsi" w:cstheme="minorHAnsi"/>
        </w:rPr>
        <w:t xml:space="preserve"> UNSW. </w:t>
      </w:r>
      <w:hyperlink r:id="rId49" w:history="1">
        <w:r w:rsidRPr="00055843">
          <w:rPr>
            <w:rStyle w:val="Hyperlink"/>
            <w:rFonts w:asciiTheme="minorHAnsi" w:hAnsiTheme="minorHAnsi" w:cstheme="minorHAnsi"/>
          </w:rPr>
          <w:t>https://scarletalliance.org.au/library/Stigma_Indicators</w:t>
        </w:r>
      </w:hyperlink>
      <w:r>
        <w:rPr>
          <w:rFonts w:asciiTheme="minorHAnsi" w:hAnsiTheme="minorHAnsi" w:cstheme="minorHAnsi"/>
        </w:rPr>
        <w:t xml:space="preserve"> </w:t>
      </w:r>
    </w:p>
  </w:endnote>
  <w:endnote w:id="85">
    <w:p w14:paraId="676DC09E" w14:textId="1027973D" w:rsidR="00894F38" w:rsidRPr="00687F30" w:rsidRDefault="00894F38" w:rsidP="00647212">
      <w:pPr>
        <w:pStyle w:val="Bibliography"/>
        <w:rPr>
          <w:rFonts w:asciiTheme="minorHAnsi" w:hAnsiTheme="minorHAnsi" w:cstheme="minorHAnsi"/>
          <w:color w:val="000000" w:themeColor="text1"/>
          <w:sz w:val="20"/>
          <w:szCs w:val="20"/>
        </w:rPr>
      </w:pPr>
      <w:r w:rsidRPr="00687F30">
        <w:rPr>
          <w:rStyle w:val="EndnoteReference"/>
          <w:rFonts w:asciiTheme="minorHAnsi" w:hAnsiTheme="minorHAnsi" w:cstheme="minorHAnsi"/>
          <w:color w:val="000000" w:themeColor="text1"/>
          <w:sz w:val="20"/>
          <w:szCs w:val="20"/>
        </w:rPr>
        <w:endnoteRef/>
      </w:r>
      <w:r w:rsidRPr="00687F30">
        <w:rPr>
          <w:rFonts w:asciiTheme="minorHAnsi" w:hAnsiTheme="minorHAnsi" w:cstheme="minorHAnsi"/>
          <w:color w:val="000000" w:themeColor="text1"/>
          <w:sz w:val="20"/>
          <w:szCs w:val="20"/>
        </w:rPr>
        <w:t xml:space="preserve"> Australasian Society for HIV, Viral Hepatitis and Sexual Health Medicine. (2019). </w:t>
      </w:r>
      <w:r w:rsidRPr="007C04B0">
        <w:rPr>
          <w:rFonts w:asciiTheme="minorHAnsi" w:hAnsiTheme="minorHAnsi" w:cstheme="minorHAnsi"/>
          <w:i/>
          <w:iCs/>
          <w:color w:val="000000" w:themeColor="text1"/>
          <w:sz w:val="20"/>
          <w:szCs w:val="20"/>
        </w:rPr>
        <w:t>Guide to Australian HIV laws and policies for healthcare professionals</w:t>
      </w:r>
      <w:r w:rsidRPr="00687F30">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Accessed from:</w:t>
      </w:r>
      <w:r w:rsidRPr="00687F30">
        <w:rPr>
          <w:rFonts w:asciiTheme="minorHAnsi" w:hAnsiTheme="minorHAnsi" w:cstheme="minorHAnsi"/>
          <w:color w:val="000000" w:themeColor="text1"/>
          <w:sz w:val="20"/>
          <w:szCs w:val="20"/>
        </w:rPr>
        <w:t xml:space="preserve"> http://hivlegal.ashm.org.au</w:t>
      </w:r>
    </w:p>
  </w:endnote>
  <w:endnote w:id="86">
    <w:p w14:paraId="78836E1F" w14:textId="2103EC7F"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Miller, W. M., Miller, W. C., Barrington, C., Weir, S. S., Chen, S. Y., Emch, M. E., Pettifor, A. E., &amp; Paz-Bailey, G. (2020). </w:t>
      </w:r>
      <w:r>
        <w:rPr>
          <w:rFonts w:asciiTheme="minorHAnsi" w:hAnsiTheme="minorHAnsi" w:cstheme="minorHAnsi"/>
          <w:color w:val="000000" w:themeColor="text1"/>
        </w:rPr>
        <w:t>‘</w:t>
      </w:r>
      <w:r w:rsidRPr="00687F30">
        <w:rPr>
          <w:rFonts w:asciiTheme="minorHAnsi" w:hAnsiTheme="minorHAnsi" w:cstheme="minorHAnsi"/>
          <w:color w:val="000000" w:themeColor="text1"/>
        </w:rPr>
        <w:t>Sex work, discrimination, drug use and violence: A pattern for HIV risk among transgender sex workers compared to MSM sex workers and other MSM in Guatemala</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87F30">
        <w:rPr>
          <w:rFonts w:asciiTheme="minorHAnsi" w:hAnsiTheme="minorHAnsi" w:cstheme="minorHAnsi"/>
          <w:i/>
          <w:iCs/>
          <w:color w:val="000000" w:themeColor="text1"/>
        </w:rPr>
        <w:t>Global Public Health</w:t>
      </w:r>
      <w:r w:rsidRPr="00687F30">
        <w:rPr>
          <w:rFonts w:asciiTheme="minorHAnsi" w:hAnsiTheme="minorHAnsi" w:cstheme="minorHAnsi"/>
          <w:color w:val="000000" w:themeColor="text1"/>
        </w:rPr>
        <w:t>. 15(2), 262–274.</w:t>
      </w:r>
    </w:p>
  </w:endnote>
  <w:endnote w:id="87">
    <w:p w14:paraId="744624FE" w14:textId="77777777"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Macioti PG, DeVeau R, Millen MJ, McGlasson C, Siangyai B, Sinclair G, Power J, Bourne A. (2022). </w:t>
      </w:r>
      <w:r w:rsidRPr="00687F30">
        <w:rPr>
          <w:rFonts w:asciiTheme="minorHAnsi" w:hAnsiTheme="minorHAnsi" w:cstheme="minorHAnsi"/>
          <w:i/>
          <w:iCs/>
          <w:color w:val="000000" w:themeColor="text1"/>
          <w:shd w:val="clear" w:color="auto" w:fill="FFFFFF"/>
        </w:rPr>
        <w:t>Understanding the Health and Social Wellbeing Needs of Sex Workers in Victoria. Australian Research Centre in Sex, Health and Society</w:t>
      </w:r>
      <w:r w:rsidRPr="00687F30">
        <w:rPr>
          <w:rFonts w:asciiTheme="minorHAnsi" w:hAnsiTheme="minorHAnsi" w:cstheme="minorHAnsi"/>
          <w:color w:val="000000" w:themeColor="text1"/>
          <w:shd w:val="clear" w:color="auto" w:fill="FFFFFF"/>
        </w:rPr>
        <w:t xml:space="preserve">. La Trobe University, Victoria. </w:t>
      </w:r>
    </w:p>
  </w:endnote>
  <w:endnote w:id="88">
    <w:p w14:paraId="420611E5" w14:textId="28337F98"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Macioti PG, DeVeau R, Millen MJ, McGlasson C, Siangyai B, Sinclair G, Power J, Bourne A. (2022). </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Understanding the Health and Social Wellbeing Needs of Sex Workers in Victoria.</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 xml:space="preserve"> </w:t>
      </w:r>
      <w:r w:rsidRPr="00A602DA">
        <w:rPr>
          <w:rFonts w:asciiTheme="minorHAnsi" w:hAnsiTheme="minorHAnsi" w:cstheme="minorHAnsi"/>
          <w:i/>
          <w:iCs/>
          <w:color w:val="000000" w:themeColor="text1"/>
          <w:shd w:val="clear" w:color="auto" w:fill="FFFFFF"/>
        </w:rPr>
        <w:t>Australian Research Centre in Sex, Health and Society</w:t>
      </w:r>
      <w:r w:rsidRPr="00687F30">
        <w:rPr>
          <w:rFonts w:asciiTheme="minorHAnsi" w:hAnsiTheme="minorHAnsi" w:cstheme="minorHAnsi"/>
          <w:color w:val="000000" w:themeColor="text1"/>
          <w:shd w:val="clear" w:color="auto" w:fill="FFFFFF"/>
        </w:rPr>
        <w:t xml:space="preserve">. La Trobe University, Victoria. </w:t>
      </w:r>
    </w:p>
  </w:endnote>
  <w:endnote w:id="89">
    <w:p w14:paraId="06D3F265" w14:textId="0CDD5AA7"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Nouchi, A., Caby, F., Palich, R., Monsel, G., &amp; Caumes, and E. (2019). </w:t>
      </w:r>
      <w:r>
        <w:rPr>
          <w:rFonts w:asciiTheme="minorHAnsi" w:hAnsiTheme="minorHAnsi" w:cstheme="minorHAnsi"/>
          <w:color w:val="000000" w:themeColor="text1"/>
        </w:rPr>
        <w:t>‘</w:t>
      </w:r>
      <w:r w:rsidRPr="00687F30">
        <w:rPr>
          <w:rFonts w:asciiTheme="minorHAnsi" w:hAnsiTheme="minorHAnsi" w:cstheme="minorHAnsi"/>
          <w:color w:val="000000" w:themeColor="text1"/>
        </w:rPr>
        <w:t>Travel-associated STI amongst HIV and non-HIV infected travellers</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87F30">
        <w:rPr>
          <w:rFonts w:asciiTheme="minorHAnsi" w:hAnsiTheme="minorHAnsi" w:cstheme="minorHAnsi"/>
          <w:i/>
          <w:iCs/>
          <w:color w:val="000000" w:themeColor="text1"/>
        </w:rPr>
        <w:t>Journal of Travel Medicine</w:t>
      </w:r>
      <w:r w:rsidRPr="00687F30">
        <w:rPr>
          <w:rFonts w:asciiTheme="minorHAnsi" w:hAnsiTheme="minorHAnsi" w:cstheme="minorHAnsi"/>
          <w:color w:val="000000" w:themeColor="text1"/>
        </w:rPr>
        <w:t>. 26(8), taz090.</w:t>
      </w:r>
    </w:p>
  </w:endnote>
  <w:endnote w:id="90">
    <w:p w14:paraId="0C06B515" w14:textId="4B6AF9D8"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Engstrom, T., Waller, M., Mullens, A. B., Durham, J., Debattista, J., Wenham, K., Bell, S. F., Ariana, A., Gu, Z., &amp; Daken, K. (2021). </w:t>
      </w:r>
      <w:r>
        <w:rPr>
          <w:rFonts w:asciiTheme="minorHAnsi" w:hAnsiTheme="minorHAnsi" w:cstheme="minorHAnsi"/>
          <w:color w:val="000000" w:themeColor="text1"/>
        </w:rPr>
        <w:t>‘</w:t>
      </w:r>
      <w:r w:rsidRPr="00687F30">
        <w:rPr>
          <w:rFonts w:asciiTheme="minorHAnsi" w:hAnsiTheme="minorHAnsi" w:cstheme="minorHAnsi"/>
          <w:color w:val="000000" w:themeColor="text1"/>
        </w:rPr>
        <w:t>STI and HIV knowledge and testing: A comparison of domestic Australian-born, domestic overseas-born and international university students in Australia</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87F30">
        <w:rPr>
          <w:rFonts w:asciiTheme="minorHAnsi" w:hAnsiTheme="minorHAnsi" w:cstheme="minorHAnsi"/>
          <w:i/>
          <w:iCs/>
          <w:color w:val="000000" w:themeColor="text1"/>
        </w:rPr>
        <w:t>Sexual Health</w:t>
      </w:r>
      <w:r w:rsidRPr="00687F30">
        <w:rPr>
          <w:rFonts w:asciiTheme="minorHAnsi" w:hAnsiTheme="minorHAnsi" w:cstheme="minorHAnsi"/>
          <w:color w:val="000000" w:themeColor="text1"/>
        </w:rPr>
        <w:t>. 18(4), 346–348.</w:t>
      </w:r>
    </w:p>
  </w:endnote>
  <w:endnote w:id="91">
    <w:p w14:paraId="7D3A3301" w14:textId="09C4934B"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Nouchi, A., Caby, F., Palich, R., Monsel, G., &amp; Caumes, and E. (2019). </w:t>
      </w:r>
      <w:r>
        <w:rPr>
          <w:rFonts w:asciiTheme="minorHAnsi" w:hAnsiTheme="minorHAnsi" w:cstheme="minorHAnsi"/>
          <w:color w:val="000000" w:themeColor="text1"/>
        </w:rPr>
        <w:t>‘</w:t>
      </w:r>
      <w:r w:rsidRPr="00687F30">
        <w:rPr>
          <w:rFonts w:asciiTheme="minorHAnsi" w:hAnsiTheme="minorHAnsi" w:cstheme="minorHAnsi"/>
          <w:color w:val="000000" w:themeColor="text1"/>
        </w:rPr>
        <w:t>Travel-associated STI amongst HIV and non-HIV infected travellers.</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A602DA">
        <w:rPr>
          <w:rFonts w:asciiTheme="minorHAnsi" w:hAnsiTheme="minorHAnsi" w:cstheme="minorHAnsi"/>
          <w:i/>
          <w:iCs/>
          <w:color w:val="000000" w:themeColor="text1"/>
        </w:rPr>
        <w:t>Journal of Travel Medicine</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26(8), taz090.</w:t>
      </w:r>
    </w:p>
  </w:endnote>
  <w:endnote w:id="92">
    <w:p w14:paraId="3CC3A6F9" w14:textId="6828DF2A"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Aung, E. T., Chow, E. P., Fairley, C. K., Hocking, J. S., Bradshaw, C. S., Williamson, D. A., &amp; Chen, M. Y. (2019). </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International travel as risk factor for </w:t>
      </w:r>
      <w:r w:rsidRPr="00687F30">
        <w:rPr>
          <w:rFonts w:asciiTheme="minorHAnsi" w:hAnsiTheme="minorHAnsi" w:cstheme="minorHAnsi"/>
          <w:i/>
          <w:iCs/>
          <w:color w:val="000000" w:themeColor="text1"/>
        </w:rPr>
        <w:t>Chlamydia trachomatis</w:t>
      </w:r>
      <w:r w:rsidRPr="00687F30">
        <w:rPr>
          <w:rFonts w:asciiTheme="minorHAnsi" w:hAnsiTheme="minorHAnsi" w:cstheme="minorHAnsi"/>
          <w:color w:val="000000" w:themeColor="text1"/>
        </w:rPr>
        <w:t xml:space="preserve"> infections among young heterosexuals attending a sexual health clinic in Melbourne, Australia, 2007 to 2017</w:t>
      </w:r>
      <w:r>
        <w:rPr>
          <w:rFonts w:asciiTheme="minorHAnsi" w:hAnsiTheme="minorHAnsi" w:cstheme="minorHAnsi"/>
          <w:color w:val="000000" w:themeColor="text1"/>
        </w:rPr>
        <w:t>’</w:t>
      </w:r>
      <w:r w:rsidRPr="00687F30">
        <w:rPr>
          <w:rFonts w:asciiTheme="minorHAnsi" w:hAnsiTheme="minorHAnsi" w:cstheme="minorHAnsi"/>
          <w:color w:val="000000" w:themeColor="text1"/>
        </w:rPr>
        <w:t>.</w:t>
      </w:r>
      <w:r w:rsidRPr="00687F30">
        <w:rPr>
          <w:rFonts w:asciiTheme="minorHAnsi" w:hAnsiTheme="minorHAnsi" w:cstheme="minorHAnsi"/>
          <w:i/>
          <w:iCs/>
          <w:color w:val="000000" w:themeColor="text1"/>
        </w:rPr>
        <w:t xml:space="preserve"> Eurosurveillance</w:t>
      </w:r>
      <w:r w:rsidRPr="00687F30">
        <w:rPr>
          <w:rFonts w:asciiTheme="minorHAnsi" w:hAnsiTheme="minorHAnsi" w:cstheme="minorHAnsi"/>
          <w:color w:val="000000" w:themeColor="text1"/>
        </w:rPr>
        <w:t>. 24(44).</w:t>
      </w:r>
    </w:p>
  </w:endnote>
  <w:endnote w:id="93">
    <w:p w14:paraId="65E56624" w14:textId="509E71D0"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Rosenberg S, Callander D, Holt M, Duck-Chong L, Pony M, Cornelisse V, Baradaran A, Duncan DT, Cook T. (2021). </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Cisgenderism and transphobia in sexual health care and associations with testing for HIV and other sexually transmitted infections: Findings from the Australian Trans &amp; Gender Diverse Sexual Health Survey</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 xml:space="preserve">. </w:t>
      </w:r>
      <w:r w:rsidRPr="00687F30">
        <w:rPr>
          <w:rFonts w:asciiTheme="minorHAnsi" w:hAnsiTheme="minorHAnsi" w:cstheme="minorHAnsi"/>
          <w:i/>
          <w:iCs/>
          <w:color w:val="000000" w:themeColor="text1"/>
          <w:shd w:val="clear" w:color="auto" w:fill="FFFFFF"/>
        </w:rPr>
        <w:t>PLoS One</w:t>
      </w:r>
      <w:r w:rsidRPr="00687F30">
        <w:rPr>
          <w:rFonts w:asciiTheme="minorHAnsi" w:hAnsiTheme="minorHAnsi" w:cstheme="minorHAnsi"/>
          <w:color w:val="000000" w:themeColor="text1"/>
          <w:shd w:val="clear" w:color="auto" w:fill="FFFFFF"/>
        </w:rPr>
        <w:t>. Jul 21;16(7):e0253589.</w:t>
      </w:r>
    </w:p>
  </w:endnote>
  <w:endnote w:id="94">
    <w:p w14:paraId="2C8C6A97" w14:textId="18C76234"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Ferfolja T, Ullman J. (2021).</w:t>
      </w:r>
      <w:r>
        <w:rPr>
          <w:rFonts w:asciiTheme="minorHAnsi" w:hAnsiTheme="minorHAnsi" w:cstheme="minorHAnsi"/>
          <w:color w:val="000000" w:themeColor="text1"/>
          <w:shd w:val="clear" w:color="auto" w:fill="FFFFFF"/>
        </w:rPr>
        <w:t xml:space="preserve">’ </w:t>
      </w:r>
      <w:r w:rsidRPr="00687F30">
        <w:rPr>
          <w:rFonts w:asciiTheme="minorHAnsi" w:hAnsiTheme="minorHAnsi" w:cstheme="minorHAnsi"/>
          <w:color w:val="000000" w:themeColor="text1"/>
          <w:shd w:val="clear" w:color="auto" w:fill="FFFFFF"/>
        </w:rPr>
        <w:t>Inclusive pedagogies for transgender and gender diverse children: Parents’ perspectives on the limits of discourses of bullying and risk in schools</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 xml:space="preserve">. </w:t>
      </w:r>
      <w:r w:rsidRPr="009456EC">
        <w:rPr>
          <w:rFonts w:asciiTheme="minorHAnsi" w:hAnsiTheme="minorHAnsi" w:cstheme="minorHAnsi"/>
          <w:i/>
          <w:iCs/>
          <w:color w:val="000000" w:themeColor="text1"/>
          <w:shd w:val="clear" w:color="auto" w:fill="FFFFFF"/>
        </w:rPr>
        <w:t>Pedagogy, Culture &amp; Society</w:t>
      </w:r>
      <w:r w:rsidRPr="00687F30">
        <w:rPr>
          <w:rFonts w:asciiTheme="minorHAnsi" w:hAnsiTheme="minorHAnsi" w:cstheme="minorHAnsi"/>
          <w:color w:val="000000" w:themeColor="text1"/>
          <w:shd w:val="clear" w:color="auto" w:fill="FFFFFF"/>
        </w:rPr>
        <w:t>. Oct 20;29(5):793-810.</w:t>
      </w:r>
    </w:p>
  </w:endnote>
  <w:endnote w:id="95">
    <w:p w14:paraId="254BB497" w14:textId="608C9CA6"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Callander D, Cook T, Read P, Hellard ME, Fairley CK, Kaldor JM, Vlahakis E, Pollack A, Bourne C, Russell DB, Guy RJ. (2019). </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Sexually transmissible infections among transgender men and women attending Australian sexual health clinics</w:t>
      </w:r>
      <w:r>
        <w:rPr>
          <w:rFonts w:asciiTheme="minorHAnsi" w:hAnsiTheme="minorHAnsi" w:cstheme="minorHAnsi"/>
          <w:color w:val="000000" w:themeColor="text1"/>
          <w:shd w:val="clear" w:color="auto" w:fill="FFFFFF"/>
        </w:rPr>
        <w:t>’</w:t>
      </w:r>
      <w:r w:rsidRPr="0001056F">
        <w:rPr>
          <w:rFonts w:asciiTheme="minorHAnsi" w:hAnsiTheme="minorHAnsi" w:cstheme="minorHAnsi"/>
          <w:i/>
          <w:iCs/>
          <w:color w:val="000000" w:themeColor="text1"/>
          <w:shd w:val="clear" w:color="auto" w:fill="FFFFFF"/>
        </w:rPr>
        <w:t>. Medical Journal of Australia</w:t>
      </w:r>
      <w:r w:rsidRPr="00687F30">
        <w:rPr>
          <w:rFonts w:asciiTheme="minorHAnsi" w:hAnsiTheme="minorHAnsi" w:cstheme="minorHAnsi"/>
          <w:color w:val="000000" w:themeColor="text1"/>
          <w:shd w:val="clear" w:color="auto" w:fill="FFFFFF"/>
        </w:rPr>
        <w:t>. Nov;211(9):406-11.</w:t>
      </w:r>
    </w:p>
  </w:endnote>
  <w:endnote w:id="96">
    <w:p w14:paraId="38CBDF2C" w14:textId="0366589E"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Callander D, Cook T, Read P, Hellard ME, Fairley CK, Kaldor JM, Vlahakis E, Pollack A, Bourne C, Russell DB, Guy RJ. (2019). </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Sexually transmissible infections among transgender men and women attending Australian sexual health clinics.</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 xml:space="preserve"> </w:t>
      </w:r>
      <w:r w:rsidRPr="0001056F">
        <w:rPr>
          <w:rFonts w:asciiTheme="minorHAnsi" w:hAnsiTheme="minorHAnsi" w:cstheme="minorHAnsi"/>
          <w:i/>
          <w:iCs/>
          <w:color w:val="000000" w:themeColor="text1"/>
          <w:shd w:val="clear" w:color="auto" w:fill="FFFFFF"/>
        </w:rPr>
        <w:t>Medical Journal of Australia</w:t>
      </w:r>
      <w:r w:rsidRPr="00687F30">
        <w:rPr>
          <w:rFonts w:asciiTheme="minorHAnsi" w:hAnsiTheme="minorHAnsi" w:cstheme="minorHAnsi"/>
          <w:color w:val="000000" w:themeColor="text1"/>
          <w:shd w:val="clear" w:color="auto" w:fill="FFFFFF"/>
        </w:rPr>
        <w:t>. Nov;211(9):406-11.</w:t>
      </w:r>
    </w:p>
  </w:endnote>
  <w:endnote w:id="97">
    <w:p w14:paraId="003D63D2" w14:textId="4C7C5E81"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Callander D, Newman CE, Holt M, Rosenberg S, Duncan DT, Pony M, Timmins L, Cornelisse V, Duck-Chong L, Wang B, Cook T. (2021).</w:t>
      </w:r>
      <w:r>
        <w:rPr>
          <w:rFonts w:asciiTheme="minorHAnsi" w:hAnsiTheme="minorHAnsi" w:cstheme="minorHAnsi"/>
          <w:color w:val="000000" w:themeColor="text1"/>
          <w:shd w:val="clear" w:color="auto" w:fill="FFFFFF"/>
        </w:rPr>
        <w:t xml:space="preserve"> ‘</w:t>
      </w:r>
      <w:r w:rsidRPr="00687F30">
        <w:rPr>
          <w:rFonts w:asciiTheme="minorHAnsi" w:hAnsiTheme="minorHAnsi" w:cstheme="minorHAnsi"/>
          <w:color w:val="000000" w:themeColor="text1"/>
          <w:shd w:val="clear" w:color="auto" w:fill="FFFFFF"/>
        </w:rPr>
        <w:t>The complexities of categorizing gender: A hierarchical clustering analysis of data from the first Australian trans and gender diverse sexual health survey</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w:t>
      </w:r>
      <w:r w:rsidRPr="0001056F">
        <w:rPr>
          <w:rFonts w:asciiTheme="minorHAnsi" w:hAnsiTheme="minorHAnsi" w:cstheme="minorHAnsi"/>
          <w:i/>
          <w:iCs/>
          <w:color w:val="000000" w:themeColor="text1"/>
          <w:shd w:val="clear" w:color="auto" w:fill="FFFFFF"/>
        </w:rPr>
        <w:t xml:space="preserve"> Transgender Health</w:t>
      </w:r>
      <w:r w:rsidRPr="00687F30">
        <w:rPr>
          <w:rFonts w:asciiTheme="minorHAnsi" w:hAnsiTheme="minorHAnsi" w:cstheme="minorHAnsi"/>
          <w:color w:val="000000" w:themeColor="text1"/>
          <w:shd w:val="clear" w:color="auto" w:fill="FFFFFF"/>
        </w:rPr>
        <w:t>. Apr 1;6(2):74-81.</w:t>
      </w:r>
    </w:p>
  </w:endnote>
  <w:endnote w:id="98">
    <w:p w14:paraId="4C1425E0" w14:textId="4647D7BF"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Aung, E. T., Chow, E. P., Fairley, C. K., Hocking, J. S., Bradshaw, C. S., Williamson, D. A., &amp; Chen, M. Y. (2019). ‘International travel as risk factor for </w:t>
      </w:r>
      <w:r w:rsidRPr="00687F30">
        <w:rPr>
          <w:rFonts w:asciiTheme="minorHAnsi" w:hAnsiTheme="minorHAnsi" w:cstheme="minorHAnsi"/>
          <w:i/>
          <w:iCs/>
          <w:color w:val="000000" w:themeColor="text1"/>
        </w:rPr>
        <w:t>Chlamydia trachomatis</w:t>
      </w:r>
      <w:r w:rsidRPr="00687F30">
        <w:rPr>
          <w:rFonts w:asciiTheme="minorHAnsi" w:hAnsiTheme="minorHAnsi" w:cstheme="minorHAnsi"/>
          <w:color w:val="000000" w:themeColor="text1"/>
        </w:rPr>
        <w:t xml:space="preserve"> infections among young heterosexuals attending a sexual health clinic in Melbourne, Australia, 2007 to 2017.’</w:t>
      </w:r>
      <w:r w:rsidRPr="00687F30">
        <w:rPr>
          <w:rFonts w:asciiTheme="minorHAnsi" w:hAnsiTheme="minorHAnsi" w:cstheme="minorHAnsi"/>
          <w:i/>
          <w:iCs/>
          <w:color w:val="000000" w:themeColor="text1"/>
        </w:rPr>
        <w:t xml:space="preserve"> Eurosurveillance</w:t>
      </w:r>
      <w:r w:rsidRPr="00687F30">
        <w:rPr>
          <w:rFonts w:asciiTheme="minorHAnsi" w:hAnsiTheme="minorHAnsi" w:cstheme="minorHAnsi"/>
          <w:color w:val="000000" w:themeColor="text1"/>
        </w:rPr>
        <w:t>. 24(44).</w:t>
      </w:r>
    </w:p>
  </w:endnote>
  <w:endnote w:id="99">
    <w:p w14:paraId="3BFDDDA3" w14:textId="77777777" w:rsidR="00894F38" w:rsidRPr="00687F30" w:rsidRDefault="00894F38" w:rsidP="00377099">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Sexual health promotion with culturally and linguistically diverse young people [Internet]. studentwellbeinghub.edu.au. [cited 16 March 2023]. Available from: </w:t>
      </w:r>
      <w:hyperlink r:id="rId50" w:history="1">
        <w:r w:rsidRPr="00687F30">
          <w:rPr>
            <w:rStyle w:val="Hyperlink"/>
            <w:rFonts w:asciiTheme="minorHAnsi" w:hAnsiTheme="minorHAnsi" w:cstheme="minorHAnsi"/>
          </w:rPr>
          <w:t>https://studentwellbeinghub.edu.au/educators/resources/sexual-health-promotion-with-culturally-and-linguistically-diverse-young-people/</w:t>
        </w:r>
      </w:hyperlink>
      <w:r w:rsidRPr="00687F30">
        <w:rPr>
          <w:rFonts w:asciiTheme="minorHAnsi" w:hAnsiTheme="minorHAnsi" w:cstheme="minorHAnsi"/>
          <w:color w:val="000000" w:themeColor="text1"/>
        </w:rPr>
        <w:t xml:space="preserve"> </w:t>
      </w:r>
    </w:p>
    <w:p w14:paraId="152C9933" w14:textId="27CB4E22" w:rsidR="00894F38" w:rsidRPr="00687F30" w:rsidRDefault="00894F38" w:rsidP="00377099">
      <w:pPr>
        <w:pStyle w:val="EndnoteText"/>
        <w:rPr>
          <w:rFonts w:asciiTheme="minorHAnsi" w:hAnsiTheme="minorHAnsi" w:cstheme="minorHAnsi"/>
          <w:color w:val="000000" w:themeColor="text1"/>
        </w:rPr>
      </w:pPr>
      <w:r w:rsidRPr="00687F30">
        <w:rPr>
          <w:rFonts w:asciiTheme="minorHAnsi" w:hAnsiTheme="minorHAnsi" w:cstheme="minorHAnsi"/>
          <w:color w:val="000000" w:themeColor="text1"/>
          <w:shd w:val="clear" w:color="auto" w:fill="FFFFFF"/>
        </w:rPr>
        <w:t xml:space="preserve">McNair RP, Parkinson S, Dempsey D, Andrews C. </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Lesbian, gay and bisexual homelessness in Australia: Risk and resilience factors to consider in policy and practice.</w:t>
      </w:r>
      <w:r>
        <w:rPr>
          <w:rFonts w:asciiTheme="minorHAnsi" w:hAnsiTheme="minorHAnsi" w:cstheme="minorHAnsi"/>
          <w:color w:val="000000" w:themeColor="text1"/>
          <w:shd w:val="clear" w:color="auto" w:fill="FFFFFF"/>
        </w:rPr>
        <w:t>’</w:t>
      </w:r>
      <w:r w:rsidRPr="00687F30">
        <w:rPr>
          <w:rFonts w:asciiTheme="minorHAnsi" w:hAnsiTheme="minorHAnsi" w:cstheme="minorHAnsi"/>
          <w:color w:val="000000" w:themeColor="text1"/>
          <w:shd w:val="clear" w:color="auto" w:fill="FFFFFF"/>
        </w:rPr>
        <w:t xml:space="preserve"> </w:t>
      </w:r>
      <w:r w:rsidRPr="00851D8E">
        <w:rPr>
          <w:rFonts w:asciiTheme="minorHAnsi" w:hAnsiTheme="minorHAnsi" w:cstheme="minorHAnsi"/>
          <w:i/>
          <w:iCs/>
          <w:color w:val="000000" w:themeColor="text1"/>
          <w:shd w:val="clear" w:color="auto" w:fill="FFFFFF"/>
        </w:rPr>
        <w:t>Health &amp; Social Care in the Community.</w:t>
      </w:r>
      <w:r w:rsidRPr="00687F30">
        <w:rPr>
          <w:rFonts w:asciiTheme="minorHAnsi" w:hAnsiTheme="minorHAnsi" w:cstheme="minorHAnsi"/>
          <w:color w:val="000000" w:themeColor="text1"/>
          <w:shd w:val="clear" w:color="auto" w:fill="FFFFFF"/>
        </w:rPr>
        <w:t xml:space="preserve">  May;30(3):e687-94.</w:t>
      </w:r>
    </w:p>
  </w:endnote>
  <w:endnote w:id="100">
    <w:p w14:paraId="46C84289" w14:textId="44F155D0" w:rsidR="00894F38" w:rsidRPr="00687F30" w:rsidRDefault="00894F38" w:rsidP="00377099">
      <w:pPr>
        <w:pStyle w:val="EndnoteText"/>
        <w:rPr>
          <w:rFonts w:asciiTheme="minorHAnsi" w:hAnsiTheme="minorHAnsi" w:cstheme="minorHAnsi"/>
          <w:color w:val="000000" w:themeColor="text1"/>
          <w:shd w:val="clear" w:color="auto" w:fill="FFFFFF"/>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w:t>
      </w:r>
      <w:r w:rsidRPr="00687F30">
        <w:rPr>
          <w:rFonts w:asciiTheme="minorHAnsi" w:hAnsiTheme="minorHAnsi" w:cstheme="minorHAnsi"/>
          <w:color w:val="000000" w:themeColor="text1"/>
          <w:shd w:val="clear" w:color="auto" w:fill="FFFFFF"/>
        </w:rPr>
        <w:t xml:space="preserve">Henning D, Parrott C, Read T, Cook S, Bradshaw CS. (2021). ‘Homelessness, sex and a tale of two sexually transmitted infections.’ </w:t>
      </w:r>
      <w:r w:rsidRPr="00687F30">
        <w:rPr>
          <w:rFonts w:asciiTheme="minorHAnsi" w:hAnsiTheme="minorHAnsi" w:cstheme="minorHAnsi"/>
          <w:i/>
          <w:iCs/>
          <w:color w:val="000000" w:themeColor="text1"/>
          <w:shd w:val="clear" w:color="auto" w:fill="FFFFFF"/>
        </w:rPr>
        <w:t>International Journal of STD &amp; AIDS</w:t>
      </w:r>
      <w:r w:rsidRPr="00687F30">
        <w:rPr>
          <w:rFonts w:asciiTheme="minorHAnsi" w:hAnsiTheme="minorHAnsi" w:cstheme="minorHAnsi"/>
          <w:color w:val="000000" w:themeColor="text1"/>
          <w:shd w:val="clear" w:color="auto" w:fill="FFFFFF"/>
        </w:rPr>
        <w:t>. Jan;32(1):83-5.</w:t>
      </w:r>
    </w:p>
  </w:endnote>
  <w:endnote w:id="101">
    <w:p w14:paraId="0160CC6F" w14:textId="77777777" w:rsidR="00894F38" w:rsidRPr="00687F30" w:rsidRDefault="00894F38" w:rsidP="00647212">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Skaletz</w:t>
      </w:r>
      <w:r w:rsidRPr="00687F30">
        <w:rPr>
          <w:rFonts w:ascii="Cambria Math" w:hAnsi="Cambria Math" w:cs="Cambria Math"/>
          <w:color w:val="000000" w:themeColor="text1"/>
        </w:rPr>
        <w:t>‑</w:t>
      </w:r>
      <w:r w:rsidRPr="00687F30">
        <w:rPr>
          <w:rFonts w:asciiTheme="minorHAnsi" w:hAnsiTheme="minorHAnsi" w:cstheme="minorHAnsi"/>
          <w:color w:val="000000" w:themeColor="text1"/>
        </w:rPr>
        <w:t xml:space="preserve">Rorowski, A., Potthoff, A., Nambiar, S., Wach, J., Kayser, A., Kasper, A., &amp; Brockmeyer, N. (2021). ‘Sexual behaviour, STI knowledge and </w:t>
      </w:r>
      <w:r w:rsidRPr="00687F30">
        <w:rPr>
          <w:rFonts w:asciiTheme="minorHAnsi" w:hAnsiTheme="minorHAnsi" w:cstheme="minorHAnsi"/>
          <w:i/>
          <w:iCs/>
          <w:color w:val="000000" w:themeColor="text1"/>
        </w:rPr>
        <w:t>Chlamydia trachomatis</w:t>
      </w:r>
      <w:r w:rsidRPr="00687F30">
        <w:rPr>
          <w:rFonts w:asciiTheme="minorHAnsi" w:hAnsiTheme="minorHAnsi" w:cstheme="minorHAnsi"/>
          <w:color w:val="000000" w:themeColor="text1"/>
        </w:rPr>
        <w:t xml:space="preserve"> (CT) and </w:t>
      </w:r>
      <w:r w:rsidRPr="00687F30">
        <w:rPr>
          <w:rFonts w:asciiTheme="minorHAnsi" w:hAnsiTheme="minorHAnsi" w:cstheme="minorHAnsi"/>
          <w:i/>
          <w:iCs/>
          <w:color w:val="000000" w:themeColor="text1"/>
        </w:rPr>
        <w:t>Neisseria gonorrhoeae</w:t>
      </w:r>
      <w:r w:rsidRPr="00687F30">
        <w:rPr>
          <w:rFonts w:asciiTheme="minorHAnsi" w:hAnsiTheme="minorHAnsi" w:cstheme="minorHAnsi"/>
          <w:color w:val="000000" w:themeColor="text1"/>
        </w:rPr>
        <w:t xml:space="preserve"> (NG) prevalence in an asymptomatic cohort in Ruhr</w:t>
      </w:r>
      <w:r w:rsidRPr="00687F30">
        <w:rPr>
          <w:rFonts w:ascii="Cambria Math" w:hAnsi="Cambria Math" w:cs="Cambria Math"/>
          <w:color w:val="000000" w:themeColor="text1"/>
        </w:rPr>
        <w:t>‑</w:t>
      </w:r>
      <w:r w:rsidRPr="00687F30">
        <w:rPr>
          <w:rFonts w:asciiTheme="minorHAnsi" w:hAnsiTheme="minorHAnsi" w:cstheme="minorHAnsi"/>
          <w:color w:val="000000" w:themeColor="text1"/>
        </w:rPr>
        <w:t xml:space="preserve">area, Germany: PreYoungGo study’. </w:t>
      </w:r>
      <w:r w:rsidRPr="00687F30">
        <w:rPr>
          <w:rFonts w:asciiTheme="minorHAnsi" w:hAnsiTheme="minorHAnsi" w:cstheme="minorHAnsi"/>
          <w:i/>
          <w:iCs/>
          <w:color w:val="000000" w:themeColor="text1"/>
        </w:rPr>
        <w:t>Journal of the European Academy of Dermatology and Venereology</w:t>
      </w:r>
      <w:r w:rsidRPr="00687F30">
        <w:rPr>
          <w:rFonts w:asciiTheme="minorHAnsi" w:hAnsiTheme="minorHAnsi" w:cstheme="minorHAnsi"/>
          <w:color w:val="000000" w:themeColor="text1"/>
        </w:rPr>
        <w:t>. 35(1), 241–246.</w:t>
      </w:r>
    </w:p>
  </w:endnote>
  <w:endnote w:id="102">
    <w:p w14:paraId="000D3AFC" w14:textId="148C3198" w:rsidR="00894F38" w:rsidRPr="00687F30" w:rsidRDefault="00894F38">
      <w:pPr>
        <w:pStyle w:val="EndnoteText"/>
        <w:rPr>
          <w:rFonts w:asciiTheme="minorHAnsi" w:hAnsiTheme="minorHAnsi" w:cstheme="minorHAnsi"/>
          <w:color w:val="000000" w:themeColor="text1"/>
          <w:lang w:val="en-US"/>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Ogale, Y., Yeh, P. T., Kennedy, C. E., Toskin, I., &amp; Narasimhan, M. (2019). ‘Self-collection of samples as an additional approach to deliver testing services for sexually transmitted infections: A systematic review and meta-analysis’</w:t>
      </w:r>
      <w:r w:rsidRPr="00687F30">
        <w:rPr>
          <w:rFonts w:asciiTheme="minorHAnsi" w:hAnsiTheme="minorHAnsi" w:cstheme="minorHAnsi"/>
          <w:i/>
          <w:iCs/>
          <w:color w:val="000000" w:themeColor="text1"/>
        </w:rPr>
        <w:t>. BMJ Global Health</w:t>
      </w:r>
      <w:r w:rsidRPr="00687F30">
        <w:rPr>
          <w:rFonts w:asciiTheme="minorHAnsi" w:hAnsiTheme="minorHAnsi" w:cstheme="minorHAnsi"/>
          <w:color w:val="000000" w:themeColor="text1"/>
        </w:rPr>
        <w:t>, 4(2), e001349.</w:t>
      </w:r>
    </w:p>
  </w:endnote>
  <w:endnote w:id="103">
    <w:p w14:paraId="4F390BC6" w14:textId="77777777" w:rsidR="0034529B" w:rsidRDefault="0034529B" w:rsidP="0034529B">
      <w:pPr>
        <w:pStyle w:val="EndnoteText"/>
      </w:pPr>
      <w:r>
        <w:rPr>
          <w:rStyle w:val="EndnoteReference"/>
        </w:rPr>
        <w:endnoteRef/>
      </w:r>
      <w:r>
        <w:t xml:space="preserve"> </w:t>
      </w:r>
      <w:r w:rsidRPr="009F3E32">
        <w:rPr>
          <w:rFonts w:asciiTheme="minorHAnsi" w:hAnsiTheme="minorHAnsi" w:cstheme="minorHAnsi"/>
        </w:rPr>
        <w:t>The Kirby Institute. (2022). Blood borne viral and sexually transmissible infections in Aboriginal and/or Torres Strait Islander peoples. https://www.kirby.unsw.edu.au/research/reports/blood-borne-viral-and-sexually-transmissible-infections-aboriginal-andor-torres-strait-islander-peoples-2022</w:t>
      </w:r>
      <w:r>
        <w:rPr>
          <w:rFonts w:asciiTheme="minorHAnsi" w:hAnsiTheme="minorHAnsi" w:cstheme="minorHAnsi"/>
        </w:rPr>
        <w:t>.</w:t>
      </w:r>
    </w:p>
  </w:endnote>
  <w:endnote w:id="104">
    <w:p w14:paraId="06E0A24B" w14:textId="48532F26" w:rsidR="00894F38" w:rsidRPr="00687F30" w:rsidRDefault="00894F38">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Queiroz JF, Medeiros KS, Sarmento ACA, Monteiro MN, Cobucci RN, Stransky B, Gonçalves AK. (2020). ‘Use of dating sites and applications by women and their risk of sexually transmitted infections: a systematic review and meta-analysis protocol’. </w:t>
      </w:r>
      <w:r w:rsidRPr="00687F30">
        <w:rPr>
          <w:rFonts w:asciiTheme="minorHAnsi" w:hAnsiTheme="minorHAnsi" w:cstheme="minorHAnsi"/>
          <w:i/>
          <w:iCs/>
        </w:rPr>
        <w:t>BMJ Open</w:t>
      </w:r>
      <w:r w:rsidRPr="00687F30">
        <w:rPr>
          <w:rFonts w:asciiTheme="minorHAnsi" w:hAnsiTheme="minorHAnsi" w:cstheme="minorHAnsi"/>
        </w:rPr>
        <w:t>. Nov 19;10(11):</w:t>
      </w:r>
    </w:p>
  </w:endnote>
  <w:endnote w:id="105">
    <w:p w14:paraId="4384F3D1" w14:textId="615748F7" w:rsidR="00894F38" w:rsidRPr="00687F30" w:rsidRDefault="00894F38">
      <w:pPr>
        <w:pStyle w:val="EndnoteText"/>
        <w:rPr>
          <w:rFonts w:asciiTheme="minorHAnsi" w:hAnsiTheme="minorHAnsi" w:cstheme="minorHAnsi"/>
          <w:lang w:val="en-NZ"/>
        </w:rPr>
      </w:pPr>
      <w:r w:rsidRPr="00687F30">
        <w:rPr>
          <w:rStyle w:val="EndnoteReference"/>
          <w:rFonts w:asciiTheme="minorHAnsi" w:hAnsiTheme="minorHAnsi" w:cstheme="minorHAnsi"/>
        </w:rPr>
        <w:endnoteRef/>
      </w:r>
      <w:r w:rsidRPr="00687F30">
        <w:rPr>
          <w:rFonts w:asciiTheme="minorHAnsi" w:hAnsiTheme="minorHAnsi" w:cstheme="minorHAnsi"/>
        </w:rPr>
        <w:t xml:space="preserve"> </w:t>
      </w:r>
      <w:r w:rsidRPr="00687F30">
        <w:rPr>
          <w:rFonts w:asciiTheme="minorHAnsi" w:hAnsiTheme="minorHAnsi" w:cstheme="minorHAnsi"/>
          <w:color w:val="000000" w:themeColor="text1"/>
        </w:rPr>
        <w:t xml:space="preserve">Australasian Society for HIV, Viral Hepatitis and Sexual Health Medicine. (2021). Australian STI Management Guidelines for Use in Primary Care,  </w:t>
      </w:r>
      <w:hyperlink r:id="rId51" w:history="1">
        <w:r w:rsidRPr="00687F30">
          <w:rPr>
            <w:rStyle w:val="Hyperlink"/>
            <w:rFonts w:asciiTheme="minorHAnsi" w:hAnsiTheme="minorHAnsi" w:cstheme="minorHAnsi"/>
          </w:rPr>
          <w:t>https://sti.guidelines.org.au/populations-and-situations/people-in-custodial-settings/</w:t>
        </w:r>
      </w:hyperlink>
      <w:r w:rsidRPr="00687F30">
        <w:rPr>
          <w:rFonts w:asciiTheme="minorHAnsi" w:hAnsiTheme="minorHAnsi" w:cstheme="minorHAnsi"/>
          <w:color w:val="000000" w:themeColor="text1"/>
        </w:rPr>
        <w:t xml:space="preserve"> </w:t>
      </w:r>
    </w:p>
  </w:endnote>
  <w:endnote w:id="106">
    <w:p w14:paraId="549DFA5D" w14:textId="2F9235C2" w:rsidR="00894F38" w:rsidRPr="00687F30" w:rsidRDefault="00894F38" w:rsidP="009E6647">
      <w:pPr>
        <w:pStyle w:val="EndnoteText"/>
        <w:rPr>
          <w:rFonts w:asciiTheme="minorHAnsi" w:hAnsiTheme="minorHAnsi" w:cstheme="minorHAnsi"/>
        </w:rPr>
      </w:pPr>
      <w:r w:rsidRPr="00687F30">
        <w:rPr>
          <w:rStyle w:val="EndnoteReference"/>
          <w:rFonts w:asciiTheme="minorHAnsi" w:hAnsiTheme="minorHAnsi" w:cstheme="minorHAnsi"/>
        </w:rPr>
        <w:endnoteRef/>
      </w:r>
      <w:r w:rsidRPr="00687F30">
        <w:rPr>
          <w:rFonts w:asciiTheme="minorHAnsi" w:hAnsiTheme="minorHAnsi" w:cstheme="minorHAnsi"/>
        </w:rPr>
        <w:t xml:space="preserve"> Taflan, P., Simpson, P. L., Wilson, M., Jones, J., Donovan, B, Amin, J., Nathan , S., &amp; Butler, T. (2023). </w:t>
      </w:r>
      <w:r>
        <w:rPr>
          <w:rFonts w:asciiTheme="minorHAnsi" w:hAnsiTheme="minorHAnsi" w:cstheme="minorHAnsi"/>
        </w:rPr>
        <w:t>‘</w:t>
      </w:r>
      <w:r w:rsidRPr="00687F30">
        <w:rPr>
          <w:rFonts w:asciiTheme="minorHAnsi" w:hAnsiTheme="minorHAnsi" w:cstheme="minorHAnsi"/>
        </w:rPr>
        <w:t>Sexually transmissible infections (STI) and HIV-testing and diagnosis among Aboriginal ad non-Aboriginal adolescents in contact with the Australian justice system: a cross-sectional study</w:t>
      </w:r>
      <w:r>
        <w:rPr>
          <w:rFonts w:asciiTheme="minorHAnsi" w:hAnsiTheme="minorHAnsi" w:cstheme="minorHAnsi"/>
        </w:rPr>
        <w:t>’</w:t>
      </w:r>
      <w:r w:rsidRPr="00687F30">
        <w:rPr>
          <w:rFonts w:asciiTheme="minorHAnsi" w:hAnsiTheme="minorHAnsi" w:cstheme="minorHAnsi"/>
        </w:rPr>
        <w:t xml:space="preserve">. </w:t>
      </w:r>
      <w:r w:rsidRPr="00770C78">
        <w:rPr>
          <w:rFonts w:asciiTheme="minorHAnsi" w:hAnsiTheme="minorHAnsi" w:cstheme="minorHAnsi"/>
          <w:i/>
          <w:iCs/>
        </w:rPr>
        <w:t>Sexual Health</w:t>
      </w:r>
      <w:r>
        <w:rPr>
          <w:rFonts w:asciiTheme="minorHAnsi" w:hAnsiTheme="minorHAnsi" w:cstheme="minorHAnsi"/>
        </w:rPr>
        <w:t xml:space="preserve">. </w:t>
      </w:r>
      <w:r w:rsidRPr="00687F30">
        <w:rPr>
          <w:rFonts w:asciiTheme="minorHAnsi" w:hAnsiTheme="minorHAnsi" w:cstheme="minorHAnsi"/>
        </w:rPr>
        <w:t>20(4), 303-314. doi:10.1071/SH23028</w:t>
      </w:r>
    </w:p>
  </w:endnote>
  <w:endnote w:id="107">
    <w:p w14:paraId="60D5C095" w14:textId="77777777" w:rsidR="00894F38" w:rsidRPr="00687F30" w:rsidRDefault="00894F38" w:rsidP="00C72ACE">
      <w:pPr>
        <w:pStyle w:val="EndnoteText"/>
        <w:rPr>
          <w:rFonts w:asciiTheme="minorHAnsi" w:hAnsiTheme="minorHAnsi" w:cstheme="minorHAnsi"/>
          <w:color w:val="000000" w:themeColor="text1"/>
          <w:lang w:val="en-US"/>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See Ninth National HIV Strategy 2023-2030.</w:t>
      </w:r>
    </w:p>
  </w:endnote>
  <w:endnote w:id="108">
    <w:p w14:paraId="09801D16" w14:textId="17252095" w:rsidR="00894F38" w:rsidRPr="00687F30" w:rsidRDefault="00894F38">
      <w:pPr>
        <w:pStyle w:val="EndnoteText"/>
        <w:rPr>
          <w:rFonts w:asciiTheme="minorHAnsi" w:hAnsiTheme="minorHAnsi" w:cstheme="minorHAnsi"/>
          <w:color w:val="000000" w:themeColor="text1"/>
          <w:lang w:val="en-US"/>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Mullens, A. B., Kelly, J., Debattista, J., Phillips, T. M., Gu, Z., &amp; Siggins, F. (2018). ‘Exploring HIV risks, testing and prevention among sub-Saharan African community members in Australia’. </w:t>
      </w:r>
      <w:r w:rsidRPr="00687F30">
        <w:rPr>
          <w:rFonts w:asciiTheme="minorHAnsi" w:hAnsiTheme="minorHAnsi" w:cstheme="minorHAnsi"/>
          <w:i/>
          <w:iCs/>
          <w:color w:val="000000" w:themeColor="text1"/>
        </w:rPr>
        <w:t>International Journal for Equity in Health</w:t>
      </w:r>
      <w:r w:rsidRPr="00687F30">
        <w:rPr>
          <w:rFonts w:asciiTheme="minorHAnsi" w:hAnsiTheme="minorHAnsi" w:cstheme="minorHAnsi"/>
          <w:color w:val="000000" w:themeColor="text1"/>
        </w:rPr>
        <w:t>.17(1), 1–12.</w:t>
      </w:r>
    </w:p>
  </w:endnote>
  <w:endnote w:id="109">
    <w:p w14:paraId="2811B8A8" w14:textId="78C51D47" w:rsidR="00894F38" w:rsidRPr="00687F30" w:rsidRDefault="00894F38">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Tan, R. K. J., Kaur, N., Kumar, P. A., Tay, E., Leong, A., Chen, M. I.-C., &amp; Wong, C. S. (2020). ‘Clinics as spaces of costly disclosure: HIV/STI testing and anticipated stigma among gay, bisexual and queer men’. </w:t>
      </w:r>
      <w:r w:rsidRPr="00687F30">
        <w:rPr>
          <w:rFonts w:asciiTheme="minorHAnsi" w:hAnsiTheme="minorHAnsi" w:cstheme="minorHAnsi"/>
          <w:i/>
          <w:iCs/>
          <w:color w:val="000000" w:themeColor="text1"/>
        </w:rPr>
        <w:t>Culture, Health &amp; Sexuality</w:t>
      </w:r>
      <w:r w:rsidRPr="00687F30">
        <w:rPr>
          <w:rFonts w:asciiTheme="minorHAnsi" w:hAnsiTheme="minorHAnsi" w:cstheme="minorHAnsi"/>
          <w:color w:val="000000" w:themeColor="text1"/>
        </w:rPr>
        <w:t>. 22(3), 307–320.</w:t>
      </w:r>
    </w:p>
  </w:endnote>
  <w:endnote w:id="110">
    <w:p w14:paraId="649FA3AF" w14:textId="00962C4A" w:rsidR="00894F38" w:rsidRPr="00687F30" w:rsidRDefault="00894F38" w:rsidP="00ED7E1D">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Zappulla, A., Fairley, C. K., Donovan, B., Guy, R., Bradshaw, C. S., Chen, M. Y., Phillips, T. R., Maddaford, K., &amp; Chow, E. P. (2020). </w:t>
      </w:r>
      <w:r>
        <w:rPr>
          <w:rFonts w:asciiTheme="minorHAnsi" w:hAnsiTheme="minorHAnsi" w:cstheme="minorHAnsi"/>
          <w:color w:val="000000" w:themeColor="text1"/>
        </w:rPr>
        <w:t>‘</w:t>
      </w:r>
      <w:r w:rsidRPr="00687F30">
        <w:rPr>
          <w:rFonts w:asciiTheme="minorHAnsi" w:hAnsiTheme="minorHAnsi" w:cstheme="minorHAnsi"/>
          <w:color w:val="000000" w:themeColor="text1"/>
        </w:rPr>
        <w:t>Sexual practices of female sex workers in Melbourne, Australia: An anonymous cross-sectional questionnaire study in 2017–18</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B799F">
        <w:rPr>
          <w:rFonts w:asciiTheme="minorHAnsi" w:hAnsiTheme="minorHAnsi" w:cstheme="minorHAnsi"/>
          <w:i/>
          <w:iCs/>
          <w:color w:val="000000" w:themeColor="text1"/>
        </w:rPr>
        <w:t>Sexual Health</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17(1), 53–60.</w:t>
      </w:r>
    </w:p>
  </w:endnote>
  <w:endnote w:id="111">
    <w:p w14:paraId="059CD43D" w14:textId="31E2A304" w:rsidR="00894F38" w:rsidRPr="00687F30" w:rsidRDefault="00894F38">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Tan, R. K. J., Kaur, N., Kumar, P. A., Tay, E., Leong, A., Chen, M. I.-C., &amp; Wong, C. S. (2020). </w:t>
      </w:r>
      <w:r>
        <w:rPr>
          <w:rFonts w:asciiTheme="minorHAnsi" w:hAnsiTheme="minorHAnsi" w:cstheme="minorHAnsi"/>
          <w:color w:val="000000" w:themeColor="text1"/>
        </w:rPr>
        <w:t>‘</w:t>
      </w:r>
      <w:r w:rsidRPr="00687F30">
        <w:rPr>
          <w:rFonts w:asciiTheme="minorHAnsi" w:hAnsiTheme="minorHAnsi" w:cstheme="minorHAnsi"/>
          <w:color w:val="000000" w:themeColor="text1"/>
        </w:rPr>
        <w:t>Clinics as spaces of costly disclosure: HIV/STI testing and anticipated stigma among gay, bisexual and queer men</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w:t>
      </w:r>
      <w:r w:rsidRPr="006B799F">
        <w:rPr>
          <w:rFonts w:asciiTheme="minorHAnsi" w:hAnsiTheme="minorHAnsi" w:cstheme="minorHAnsi"/>
          <w:i/>
          <w:iCs/>
          <w:color w:val="000000" w:themeColor="text1"/>
        </w:rPr>
        <w:t>Culture, Health &amp; Sexuality</w:t>
      </w:r>
      <w:r>
        <w:rPr>
          <w:rFonts w:asciiTheme="minorHAnsi" w:hAnsiTheme="minorHAnsi" w:cstheme="minorHAnsi"/>
          <w:color w:val="000000" w:themeColor="text1"/>
        </w:rPr>
        <w:t>.</w:t>
      </w:r>
      <w:r w:rsidRPr="00687F30">
        <w:rPr>
          <w:rFonts w:asciiTheme="minorHAnsi" w:hAnsiTheme="minorHAnsi" w:cstheme="minorHAnsi"/>
          <w:color w:val="000000" w:themeColor="text1"/>
        </w:rPr>
        <w:t xml:space="preserve"> 22(3), 307–320.</w:t>
      </w:r>
    </w:p>
  </w:endnote>
  <w:endnote w:id="112">
    <w:p w14:paraId="2F286E16" w14:textId="2F170BBD" w:rsidR="00894F38" w:rsidRPr="00687F30" w:rsidRDefault="00894F38">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Skaletz‐Rorowski, A., Potthoff, A., Nambiar, S., Wach, J., Kayser, A., Kasper, A., &amp; Brockmeyer, N. (2021). Sexual behaviour, STI knowledge and </w:t>
      </w:r>
      <w:r w:rsidRPr="00687F30">
        <w:rPr>
          <w:rFonts w:asciiTheme="minorHAnsi" w:hAnsiTheme="minorHAnsi" w:cstheme="minorHAnsi"/>
          <w:i/>
          <w:iCs/>
          <w:color w:val="000000" w:themeColor="text1"/>
        </w:rPr>
        <w:t>Chlamydia trachomatis</w:t>
      </w:r>
      <w:r w:rsidRPr="00687F30">
        <w:rPr>
          <w:rFonts w:asciiTheme="minorHAnsi" w:hAnsiTheme="minorHAnsi" w:cstheme="minorHAnsi"/>
          <w:color w:val="000000" w:themeColor="text1"/>
        </w:rPr>
        <w:t xml:space="preserve"> (CT) and </w:t>
      </w:r>
      <w:r w:rsidRPr="00687F30">
        <w:rPr>
          <w:rFonts w:asciiTheme="minorHAnsi" w:hAnsiTheme="minorHAnsi" w:cstheme="minorHAnsi"/>
          <w:i/>
          <w:iCs/>
          <w:color w:val="000000" w:themeColor="text1"/>
        </w:rPr>
        <w:t>Neisseria gonorrhoeae</w:t>
      </w:r>
      <w:r w:rsidRPr="00687F30">
        <w:rPr>
          <w:rFonts w:asciiTheme="minorHAnsi" w:hAnsiTheme="minorHAnsi" w:cstheme="minorHAnsi"/>
          <w:color w:val="000000" w:themeColor="text1"/>
        </w:rPr>
        <w:t xml:space="preserve"> (NG) prevalence in an asymptomatic cohort in Ruhr‐area, Germany: PreYoungGo study. Journal of the European Academy of Dermatology and Venereology, 35(1), 241–246.</w:t>
      </w:r>
    </w:p>
  </w:endnote>
  <w:endnote w:id="113">
    <w:p w14:paraId="61D65779" w14:textId="38155DC5" w:rsidR="00894F38" w:rsidRPr="00687F30" w:rsidRDefault="00894F38">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Brawner, B. M., Abboud, S., Reason, J., Wingood, G., &amp; Jemmott, L. S. (2019). The development of an innovative, theory-driven, psychoeducational HIV/STI prevention intervention for heterosexually active black adolescents with mental illnesses. Vulnerable Children and Youth Studies, 14(2), 151–165.</w:t>
      </w:r>
    </w:p>
  </w:endnote>
  <w:endnote w:id="114">
    <w:p w14:paraId="6E013B42" w14:textId="729F7482" w:rsidR="00894F38" w:rsidRPr="00687F30" w:rsidRDefault="00894F38">
      <w:pPr>
        <w:pStyle w:val="EndnoteText"/>
        <w:rPr>
          <w:rFonts w:asciiTheme="minorHAnsi" w:hAnsiTheme="minorHAnsi" w:cstheme="minorHAnsi"/>
          <w:color w:val="000000" w:themeColor="text1"/>
        </w:rPr>
      </w:pPr>
      <w:r w:rsidRPr="00687F30">
        <w:rPr>
          <w:rStyle w:val="EndnoteReference"/>
          <w:rFonts w:asciiTheme="minorHAnsi" w:hAnsiTheme="minorHAnsi" w:cstheme="minorHAnsi"/>
          <w:color w:val="000000" w:themeColor="text1"/>
        </w:rPr>
        <w:endnoteRef/>
      </w:r>
      <w:r w:rsidRPr="00687F30">
        <w:rPr>
          <w:rFonts w:asciiTheme="minorHAnsi" w:hAnsiTheme="minorHAnsi" w:cstheme="minorHAnsi"/>
          <w:color w:val="000000" w:themeColor="text1"/>
        </w:rPr>
        <w:t xml:space="preserve"> The Kirby Institute. (2021). HIV, viral hepatitis and sexually transmissible infections in Australia: Annual Surveillance Report 2021. Kirby Institute.</w:t>
      </w:r>
    </w:p>
  </w:endnote>
  <w:endnote w:id="115">
    <w:p w14:paraId="1BEFA237" w14:textId="3F2F0CC2" w:rsidR="00894F38" w:rsidRPr="005F3076" w:rsidRDefault="00894F38" w:rsidP="00FE40D2">
      <w:pPr>
        <w:pStyle w:val="Bibliography"/>
        <w:rPr>
          <w:rFonts w:asciiTheme="minorHAnsi" w:hAnsiTheme="minorHAnsi" w:cstheme="minorHAnsi"/>
          <w:color w:val="000000" w:themeColor="text1"/>
          <w:sz w:val="20"/>
          <w:szCs w:val="20"/>
        </w:rPr>
      </w:pPr>
      <w:r w:rsidRPr="005F3076">
        <w:rPr>
          <w:rStyle w:val="EndnoteReference"/>
          <w:rFonts w:asciiTheme="minorHAnsi" w:hAnsiTheme="minorHAnsi" w:cstheme="minorHAnsi"/>
          <w:color w:val="000000" w:themeColor="text1"/>
          <w:sz w:val="20"/>
          <w:szCs w:val="20"/>
        </w:rPr>
        <w:endnoteRef/>
      </w:r>
      <w:r w:rsidRPr="005F3076">
        <w:rPr>
          <w:rFonts w:asciiTheme="minorHAnsi" w:hAnsiTheme="minorHAnsi" w:cstheme="minorHAnsi"/>
          <w:color w:val="000000" w:themeColor="text1"/>
          <w:sz w:val="20"/>
          <w:szCs w:val="20"/>
        </w:rPr>
        <w:t xml:space="preserve"> National Centre for Immunisation Research and Surveillance. (2021). Annual immunisation coverage report 2020. </w:t>
      </w:r>
      <w:hyperlink r:id="rId52" w:history="1">
        <w:r w:rsidRPr="006533AD">
          <w:rPr>
            <w:rStyle w:val="Hyperlink"/>
            <w:rFonts w:asciiTheme="minorHAnsi" w:hAnsiTheme="minorHAnsi" w:cstheme="minorHAnsi"/>
            <w:sz w:val="20"/>
            <w:szCs w:val="20"/>
          </w:rPr>
          <w:t>https://www.ncirs.org.au/sites/default/files/2021-11/NCIRS%20Annual%20Immunisation%20Coverage%20report%202020.pdf</w:t>
        </w:r>
      </w:hyperlink>
      <w:r>
        <w:rPr>
          <w:rFonts w:asciiTheme="minorHAnsi" w:hAnsiTheme="minorHAnsi" w:cstheme="minorHAnsi"/>
          <w:color w:val="000000" w:themeColor="text1"/>
          <w:sz w:val="20"/>
          <w:szCs w:val="20"/>
        </w:rPr>
        <w:t xml:space="preserve"> </w:t>
      </w:r>
    </w:p>
  </w:endnote>
  <w:endnote w:id="116">
    <w:p w14:paraId="5284FA6F" w14:textId="0F95F67F" w:rsidR="00894F38" w:rsidRPr="005F3076" w:rsidRDefault="00894F38" w:rsidP="00397CF0">
      <w:pPr>
        <w:pStyle w:val="EndnoteText"/>
        <w:rPr>
          <w:rFonts w:asciiTheme="minorHAnsi" w:hAnsiTheme="minorHAnsi" w:cstheme="minorHAnsi"/>
          <w:color w:val="000000" w:themeColor="text1"/>
        </w:rPr>
      </w:pPr>
      <w:r w:rsidRPr="005F3076">
        <w:rPr>
          <w:rStyle w:val="EndnoteReference"/>
          <w:rFonts w:asciiTheme="minorHAnsi" w:hAnsiTheme="minorHAnsi" w:cstheme="minorHAnsi"/>
          <w:color w:val="000000" w:themeColor="text1"/>
        </w:rPr>
        <w:endnoteRef/>
      </w:r>
      <w:r w:rsidRPr="005F3076">
        <w:rPr>
          <w:rFonts w:asciiTheme="minorHAnsi" w:hAnsiTheme="minorHAnsi" w:cstheme="minorHAnsi"/>
          <w:color w:val="000000" w:themeColor="text1"/>
        </w:rPr>
        <w:t xml:space="preserve"> 2022 Cervical Cancer Elimination Progress Report | C4 [Internet]. report.cervicalcancercontrol.org.au. [cited 16 March 2023]. Available from: </w:t>
      </w:r>
      <w:hyperlink r:id="rId53" w:history="1">
        <w:r w:rsidRPr="006533AD">
          <w:rPr>
            <w:rStyle w:val="Hyperlink"/>
            <w:rFonts w:asciiTheme="minorHAnsi" w:hAnsiTheme="minorHAnsi" w:cstheme="minorHAnsi"/>
          </w:rPr>
          <w:t>https://report.cervicalcancercontrol.org.au/</w:t>
        </w:r>
      </w:hyperlink>
      <w:r>
        <w:rPr>
          <w:rFonts w:asciiTheme="minorHAnsi" w:hAnsiTheme="minorHAnsi" w:cstheme="minorHAnsi"/>
          <w:color w:val="000000" w:themeColor="text1"/>
        </w:rPr>
        <w:t xml:space="preserve"> </w:t>
      </w:r>
    </w:p>
  </w:endnote>
  <w:endnote w:id="117">
    <w:p w14:paraId="3AC0F1CA" w14:textId="3325F74D" w:rsidR="00894F38" w:rsidRPr="005F3076" w:rsidRDefault="00894F38" w:rsidP="02F132C7">
      <w:pPr>
        <w:pStyle w:val="EndnoteText"/>
        <w:rPr>
          <w:rFonts w:asciiTheme="minorHAnsi" w:hAnsiTheme="minorHAnsi" w:cstheme="minorBidi"/>
          <w:color w:val="000000" w:themeColor="text1"/>
        </w:rPr>
      </w:pPr>
      <w:r w:rsidRPr="02F132C7">
        <w:rPr>
          <w:rStyle w:val="EndnoteReference"/>
          <w:rFonts w:asciiTheme="minorHAnsi" w:hAnsiTheme="minorHAnsi" w:cstheme="minorBidi"/>
          <w:color w:val="000000" w:themeColor="text1"/>
        </w:rPr>
        <w:endnoteRef/>
      </w:r>
      <w:r w:rsidRPr="02F132C7">
        <w:rPr>
          <w:rFonts w:asciiTheme="minorHAnsi" w:hAnsiTheme="minorHAnsi" w:cstheme="minorBidi"/>
          <w:color w:val="000000" w:themeColor="text1"/>
        </w:rPr>
        <w:t xml:space="preserve"> UNSW Kirby Institute. (n.d.) </w:t>
      </w:r>
      <w:r w:rsidRPr="02F132C7">
        <w:rPr>
          <w:rFonts w:asciiTheme="minorHAnsi" w:hAnsiTheme="minorHAnsi" w:cstheme="minorBidi"/>
          <w:i/>
          <w:iCs/>
          <w:color w:val="000000" w:themeColor="text1"/>
        </w:rPr>
        <w:t xml:space="preserve">GoGoVax. </w:t>
      </w:r>
      <w:r w:rsidRPr="02F132C7">
        <w:rPr>
          <w:rFonts w:asciiTheme="minorHAnsi" w:hAnsiTheme="minorHAnsi" w:cstheme="minorBidi"/>
          <w:color w:val="000000" w:themeColor="text1"/>
        </w:rPr>
        <w:t>UNSW. Accessed from: https://www.kirby.unsw.edu.au/research/projects/gogovax#:~:text=The%20project%20enrolled%20its%20first,of%20gonococcal%20infection%20in%20GBM%2B.</w:t>
      </w:r>
    </w:p>
  </w:endnote>
  <w:endnote w:id="118">
    <w:p w14:paraId="641C6839" w14:textId="77777777" w:rsidR="00894F38" w:rsidRPr="002F022D" w:rsidRDefault="00894F38" w:rsidP="00216DFE">
      <w:pPr>
        <w:pStyle w:val="EndnoteText"/>
        <w:rPr>
          <w:rFonts w:asciiTheme="minorHAnsi" w:hAnsiTheme="minorHAnsi" w:cstheme="minorHAnsi"/>
          <w:color w:val="000000" w:themeColor="text1"/>
        </w:rPr>
      </w:pPr>
      <w:r w:rsidRPr="002F022D">
        <w:rPr>
          <w:rStyle w:val="EndnoteReference"/>
          <w:rFonts w:asciiTheme="minorHAnsi" w:hAnsiTheme="minorHAnsi" w:cstheme="minorHAnsi"/>
          <w:color w:val="000000" w:themeColor="text1"/>
        </w:rPr>
        <w:endnoteRef/>
      </w:r>
      <w:r w:rsidRPr="002F022D">
        <w:rPr>
          <w:rFonts w:asciiTheme="minorHAnsi" w:hAnsiTheme="minorHAnsi" w:cstheme="minorHAnsi"/>
          <w:color w:val="000000" w:themeColor="text1"/>
        </w:rPr>
        <w:t xml:space="preserve"> Centre for Social Research in Health. (2017). Stigma Indicators Monitoring Project Final Report.</w:t>
      </w:r>
    </w:p>
  </w:endnote>
  <w:endnote w:id="119">
    <w:p w14:paraId="30D74353" w14:textId="77777777" w:rsidR="00894F38" w:rsidRPr="002F022D" w:rsidRDefault="00894F38" w:rsidP="00216DFE">
      <w:pPr>
        <w:pStyle w:val="EndnoteText"/>
        <w:rPr>
          <w:rFonts w:asciiTheme="minorHAnsi" w:hAnsiTheme="minorHAnsi" w:cstheme="minorHAnsi"/>
          <w:color w:val="000000" w:themeColor="text1"/>
        </w:rPr>
      </w:pPr>
      <w:r w:rsidRPr="002F022D">
        <w:rPr>
          <w:rStyle w:val="EndnoteReference"/>
          <w:rFonts w:asciiTheme="minorHAnsi" w:hAnsiTheme="minorHAnsi" w:cstheme="minorHAnsi"/>
          <w:color w:val="000000" w:themeColor="text1"/>
        </w:rPr>
        <w:endnoteRef/>
      </w:r>
      <w:r w:rsidRPr="002F022D">
        <w:rPr>
          <w:rFonts w:asciiTheme="minorHAnsi" w:hAnsiTheme="minorHAnsi" w:cstheme="minorHAnsi"/>
          <w:color w:val="000000" w:themeColor="text1"/>
        </w:rPr>
        <w:t xml:space="preserve"> Lee, A. S., &amp; Cody, S. L. (2020). The stigma of sexually transmitted infections. Nursing Clinics, 55(3), 295–305</w:t>
      </w:r>
    </w:p>
  </w:endnote>
  <w:endnote w:id="120">
    <w:p w14:paraId="7530F6BC" w14:textId="2D9F519A" w:rsidR="00894F38" w:rsidRPr="002F022D" w:rsidRDefault="00894F38" w:rsidP="00226477">
      <w:pPr>
        <w:pStyle w:val="EndnoteText"/>
      </w:pPr>
      <w:r w:rsidRPr="002F022D">
        <w:rPr>
          <w:rStyle w:val="EndnoteReference"/>
        </w:rPr>
        <w:endnoteRef/>
      </w:r>
      <w:r w:rsidRPr="002F022D">
        <w:t xml:space="preserve"> </w:t>
      </w:r>
      <w:r w:rsidRPr="0026038F">
        <w:rPr>
          <w:rFonts w:asciiTheme="minorHAnsi" w:hAnsiTheme="minorHAnsi" w:cstheme="minorHAnsi"/>
        </w:rPr>
        <w:t xml:space="preserve">IAS~Lancet Commission on Health and Human Rights. See Beyrer C, Allotey P, Amon JJ, Baral SD, Bassett MT, Deacon H, Dean LT, Fan L, Giacaman R, Gomes C, Gruskin S. Human rights and fair access to COVID-19 vaccines: the International AIDS Society–Lancet Commission on Health and Human Rights. </w:t>
      </w:r>
      <w:r w:rsidRPr="0026038F">
        <w:rPr>
          <w:rFonts w:asciiTheme="minorHAnsi" w:hAnsiTheme="minorHAnsi" w:cstheme="minorHAnsi"/>
          <w:i/>
          <w:iCs/>
        </w:rPr>
        <w:t>The Lancet</w:t>
      </w:r>
      <w:r w:rsidRPr="0026038F">
        <w:rPr>
          <w:rFonts w:asciiTheme="minorHAnsi" w:hAnsiTheme="minorHAnsi" w:cstheme="minorHAnsi"/>
        </w:rPr>
        <w:t>. Apr 24;397(10284):1524-7.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Roboto-Light">
    <w:altName w:val="Yu Gothic"/>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4A13E" w14:textId="783A9306" w:rsidR="00894F38" w:rsidRDefault="00894F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D22DD2" w14:textId="77777777" w:rsidR="00894F38" w:rsidRDefault="00894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6"/>
        <w:szCs w:val="16"/>
      </w:rPr>
      <w:id w:val="-1591311995"/>
      <w:docPartObj>
        <w:docPartGallery w:val="Page Numbers (Bottom of Page)"/>
        <w:docPartUnique/>
      </w:docPartObj>
    </w:sdtPr>
    <w:sdtEndPr>
      <w:rPr>
        <w:rStyle w:val="PageNumber"/>
      </w:rPr>
    </w:sdtEndPr>
    <w:sdtContent>
      <w:p w14:paraId="6C7C3C43" w14:textId="269BA500" w:rsidR="00894F38" w:rsidRPr="002C6CEB" w:rsidRDefault="00894F38">
        <w:pPr>
          <w:pStyle w:val="Footer"/>
          <w:framePr w:wrap="none" w:vAnchor="text" w:hAnchor="margin" w:xAlign="center" w:y="1"/>
          <w:rPr>
            <w:rStyle w:val="PageNumber"/>
            <w:sz w:val="16"/>
            <w:szCs w:val="16"/>
          </w:rPr>
        </w:pPr>
        <w:r w:rsidRPr="002C6CEB">
          <w:rPr>
            <w:rStyle w:val="PageNumber"/>
            <w:sz w:val="16"/>
            <w:szCs w:val="16"/>
          </w:rPr>
          <w:fldChar w:fldCharType="begin"/>
        </w:r>
        <w:r w:rsidRPr="002C6CEB">
          <w:rPr>
            <w:rStyle w:val="PageNumber"/>
            <w:sz w:val="16"/>
            <w:szCs w:val="16"/>
          </w:rPr>
          <w:instrText xml:space="preserve"> PAGE </w:instrText>
        </w:r>
        <w:r w:rsidRPr="002C6CEB">
          <w:rPr>
            <w:rStyle w:val="PageNumber"/>
            <w:sz w:val="16"/>
            <w:szCs w:val="16"/>
          </w:rPr>
          <w:fldChar w:fldCharType="separate"/>
        </w:r>
        <w:r w:rsidRPr="002C6CEB">
          <w:rPr>
            <w:rStyle w:val="PageNumber"/>
            <w:noProof/>
            <w:sz w:val="16"/>
            <w:szCs w:val="16"/>
          </w:rPr>
          <w:t>1</w:t>
        </w:r>
        <w:r w:rsidRPr="002C6CEB">
          <w:rPr>
            <w:rStyle w:val="PageNumber"/>
            <w:sz w:val="16"/>
            <w:szCs w:val="16"/>
          </w:rPr>
          <w:fldChar w:fldCharType="end"/>
        </w:r>
      </w:p>
    </w:sdtContent>
  </w:sdt>
  <w:p w14:paraId="01747A16" w14:textId="77777777" w:rsidR="00894F38" w:rsidRPr="002C6CEB" w:rsidRDefault="00894F3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124F2" w14:textId="77777777" w:rsidR="00E71778" w:rsidRDefault="00E71778" w:rsidP="00C16258">
      <w:r>
        <w:separator/>
      </w:r>
    </w:p>
  </w:footnote>
  <w:footnote w:type="continuationSeparator" w:id="0">
    <w:p w14:paraId="24E84012" w14:textId="77777777" w:rsidR="00E71778" w:rsidRDefault="00E71778" w:rsidP="00C16258">
      <w:r>
        <w:continuationSeparator/>
      </w:r>
    </w:p>
  </w:footnote>
  <w:footnote w:type="continuationNotice" w:id="1">
    <w:p w14:paraId="6BCDE8D4" w14:textId="77777777" w:rsidR="00E71778" w:rsidRDefault="00E71778"/>
  </w:footnote>
  <w:footnote w:id="2">
    <w:p w14:paraId="2F5E1BE3" w14:textId="6A19C7B2" w:rsidR="00534920" w:rsidRPr="00B70B35" w:rsidRDefault="00534920">
      <w:pPr>
        <w:pStyle w:val="FootnoteText"/>
        <w:rPr>
          <w:rFonts w:ascii="Arial" w:hAnsi="Arial" w:cs="Arial"/>
          <w:sz w:val="16"/>
          <w:szCs w:val="16"/>
        </w:rPr>
      </w:pPr>
      <w:r w:rsidRPr="00B70B35">
        <w:rPr>
          <w:rStyle w:val="FootnoteReference"/>
          <w:rFonts w:ascii="Arial" w:hAnsi="Arial" w:cs="Arial"/>
          <w:sz w:val="16"/>
          <w:szCs w:val="16"/>
        </w:rPr>
        <w:footnoteRef/>
      </w:r>
      <w:r w:rsidRPr="00B70B35">
        <w:rPr>
          <w:rFonts w:ascii="Arial" w:hAnsi="Arial" w:cs="Arial"/>
          <w:sz w:val="16"/>
          <w:szCs w:val="16"/>
        </w:rPr>
        <w:t xml:space="preserve"> </w:t>
      </w:r>
      <w:r w:rsidR="00096833">
        <w:rPr>
          <w:rFonts w:ascii="Arial" w:hAnsi="Arial" w:cs="Arial"/>
          <w:sz w:val="16"/>
          <w:szCs w:val="16"/>
        </w:rPr>
        <w:t xml:space="preserve">The make a report </w:t>
      </w:r>
      <w:r w:rsidRPr="00B70B35">
        <w:rPr>
          <w:rFonts w:ascii="Arial" w:hAnsi="Arial" w:cs="Arial"/>
          <w:sz w:val="16"/>
          <w:szCs w:val="16"/>
        </w:rPr>
        <w:t>page on the National Office for Child Safety website provides information about how to report child safety concerns, including child sexual abuse</w:t>
      </w:r>
      <w:r w:rsidR="00096833">
        <w:rPr>
          <w:rFonts w:ascii="Arial" w:hAnsi="Arial" w:cs="Arial"/>
          <w:sz w:val="16"/>
          <w:szCs w:val="16"/>
        </w:rPr>
        <w:t xml:space="preserve"> see </w:t>
      </w:r>
      <w:r w:rsidR="00096833" w:rsidRPr="00D029AE">
        <w:rPr>
          <w:rFonts w:ascii="Arial" w:hAnsi="Arial" w:cs="Arial"/>
          <w:sz w:val="16"/>
          <w:szCs w:val="16"/>
        </w:rPr>
        <w:t>https://www.childsafety.gov.au/make-report</w:t>
      </w:r>
      <w:r w:rsidRPr="00B70B35">
        <w:rPr>
          <w:rFonts w:ascii="Arial" w:hAnsi="Arial" w:cs="Arial"/>
          <w:sz w:val="16"/>
          <w:szCs w:val="16"/>
        </w:rPr>
        <w:t>.</w:t>
      </w:r>
    </w:p>
  </w:footnote>
  <w:footnote w:id="3">
    <w:p w14:paraId="2045966D" w14:textId="6F261D5D" w:rsidR="00894F38" w:rsidRPr="003F5976" w:rsidRDefault="00894F38">
      <w:pPr>
        <w:pStyle w:val="FootnoteText"/>
        <w:rPr>
          <w:rFonts w:ascii="Arial" w:hAnsi="Arial" w:cs="Arial"/>
          <w:lang w:val="en-NZ"/>
        </w:rPr>
      </w:pPr>
      <w:r w:rsidRPr="003F5976">
        <w:rPr>
          <w:rStyle w:val="FootnoteReference"/>
          <w:rFonts w:ascii="Arial" w:hAnsi="Arial" w:cs="Arial"/>
        </w:rPr>
        <w:footnoteRef/>
      </w:r>
      <w:r w:rsidRPr="003F5976">
        <w:rPr>
          <w:rFonts w:ascii="Arial" w:hAnsi="Arial" w:cs="Arial"/>
        </w:rPr>
        <w:t xml:space="preserve"> </w:t>
      </w:r>
      <w:r w:rsidRPr="003F5976">
        <w:rPr>
          <w:rFonts w:ascii="Arial" w:hAnsi="Arial" w:cs="Arial"/>
          <w:lang w:val="en-NZ"/>
        </w:rPr>
        <w:t xml:space="preserve">HTLV-1 is a notifiable disease in the Northern Territory. </w:t>
      </w:r>
      <w:hyperlink r:id="rId1" w:history="1">
        <w:r w:rsidRPr="003F5976">
          <w:rPr>
            <w:rStyle w:val="Hyperlink"/>
            <w:rFonts w:ascii="Arial" w:hAnsi="Arial" w:cs="Arial"/>
            <w:lang w:val="en-NZ"/>
          </w:rPr>
          <w:t>https://health.nt.gov.au/public-health-notifiable-diseases</w:t>
        </w:r>
      </w:hyperlink>
    </w:p>
    <w:p w14:paraId="6D3D8C65" w14:textId="77777777" w:rsidR="00894F38" w:rsidRPr="003F5976" w:rsidRDefault="00894F38">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AF8E3" w14:textId="053F3FD7" w:rsidR="00894F38" w:rsidRPr="0072068F" w:rsidRDefault="00894F38" w:rsidP="0072068F">
    <w:pPr>
      <w:pStyle w:val="Header"/>
      <w:pBdr>
        <w:bottom w:val="single" w:sz="6" w:space="1" w:color="44546A" w:themeColor="text2"/>
      </w:pBdr>
      <w:rPr>
        <w:b/>
        <w:bCs/>
        <w:sz w:val="20"/>
        <w:szCs w:val="20"/>
      </w:rPr>
    </w:pPr>
    <w:r w:rsidRPr="0072068F">
      <w:rPr>
        <w:noProof/>
        <w:sz w:val="20"/>
        <w:szCs w:val="20"/>
      </w:rPr>
      <mc:AlternateContent>
        <mc:Choice Requires="wps">
          <w:drawing>
            <wp:inline distT="0" distB="0" distL="0" distR="0" wp14:anchorId="344AF57B" wp14:editId="7CCFBC32">
              <wp:extent cx="89621" cy="89621"/>
              <wp:effectExtent l="0" t="0" r="5715" b="5715"/>
              <wp:docPr id="957732072" name="Rectangle 9577320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F7941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7DCA80AC" id="Rectangle 957732072" o:spid="_x0000_s1026" alt="&quot;&quot;"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" fillcolor="#f7941d" stroked="f" strokeweight="1pt">
              <w10:anchorlock/>
            </v:rect>
          </w:pict>
        </mc:Fallback>
      </mc:AlternateContent>
    </w:r>
    <w:r w:rsidRPr="0072068F">
      <w:rPr>
        <w:b/>
        <w:bCs/>
        <w:sz w:val="20"/>
        <w:szCs w:val="20"/>
        <w:lang w:val="en-NZ"/>
      </w:rPr>
      <w:t xml:space="preserve"> </w:t>
    </w:r>
    <w:r>
      <w:rPr>
        <w:b/>
        <w:bCs/>
        <w:sz w:val="20"/>
        <w:szCs w:val="20"/>
        <w:lang w:val="en-NZ"/>
      </w:rPr>
      <w:t xml:space="preserve">DRAFT </w:t>
    </w:r>
    <w:r w:rsidRPr="0072068F">
      <w:rPr>
        <w:sz w:val="20"/>
        <w:szCs w:val="20"/>
        <w:lang w:val="en-NZ"/>
      </w:rPr>
      <w:t xml:space="preserve">Fifth National Sexually </w:t>
    </w:r>
    <w:r w:rsidR="00165E81" w:rsidRPr="0072068F">
      <w:rPr>
        <w:sz w:val="20"/>
        <w:szCs w:val="20"/>
        <w:lang w:val="en-NZ"/>
      </w:rPr>
      <w:t>Transmi</w:t>
    </w:r>
    <w:r w:rsidR="00165E81">
      <w:rPr>
        <w:sz w:val="20"/>
        <w:szCs w:val="20"/>
        <w:lang w:val="en-NZ"/>
      </w:rPr>
      <w:t>ssible</w:t>
    </w:r>
    <w:r w:rsidRPr="0072068F">
      <w:rPr>
        <w:sz w:val="20"/>
        <w:szCs w:val="20"/>
        <w:lang w:val="en-NZ"/>
      </w:rPr>
      <w:t xml:space="preserve"> Infections Strategy                                                202</w:t>
    </w:r>
    <w:r w:rsidR="00FE3563">
      <w:rPr>
        <w:sz w:val="20"/>
        <w:szCs w:val="20"/>
        <w:lang w:val="en-NZ"/>
      </w:rPr>
      <w:t>4</w:t>
    </w:r>
    <w:r w:rsidRPr="0072068F">
      <w:rPr>
        <w:sz w:val="20"/>
        <w:szCs w:val="20"/>
        <w:lang w:val="en-NZ"/>
      </w:rPr>
      <w:t>-2030</w:t>
    </w:r>
    <w:r w:rsidRPr="0072068F">
      <w:rPr>
        <w:b/>
        <w:bCs/>
        <w:sz w:val="20"/>
        <w:szCs w:val="20"/>
        <w:lang w:val="en-NZ"/>
      </w:rPr>
      <w:t xml:space="preserve"> </w:t>
    </w:r>
  </w:p>
  <w:p w14:paraId="69FD4BFD" w14:textId="77777777" w:rsidR="00894F38" w:rsidRDefault="00894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904F9" w14:textId="6CC5762C" w:rsidR="00894F38" w:rsidRDefault="00894F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5303F" w14:textId="77777777" w:rsidR="00512633" w:rsidRDefault="00512633" w:rsidP="001E4D19">
    <w:pPr>
      <w:pStyle w:val="Header"/>
      <w:pBdr>
        <w:bottom w:val="single" w:sz="6" w:space="1" w:color="44546A" w:themeColor="text2"/>
      </w:pBdr>
      <w:rPr>
        <w:b/>
        <w:bCs/>
        <w:sz w:val="20"/>
        <w:szCs w:val="20"/>
        <w:lang w:val="en-NZ"/>
      </w:rPr>
    </w:pPr>
  </w:p>
  <w:p w14:paraId="3AD30EDC" w14:textId="3C2C90F3" w:rsidR="00894F38" w:rsidRPr="0072068F" w:rsidRDefault="00894F38" w:rsidP="001E4D19">
    <w:pPr>
      <w:pStyle w:val="Header"/>
      <w:pBdr>
        <w:bottom w:val="single" w:sz="6" w:space="1" w:color="44546A" w:themeColor="text2"/>
      </w:pBdr>
      <w:rPr>
        <w:b/>
        <w:bCs/>
        <w:sz w:val="20"/>
        <w:szCs w:val="20"/>
      </w:rPr>
    </w:pPr>
    <w:r w:rsidRPr="0072068F">
      <w:rPr>
        <w:noProof/>
        <w:sz w:val="20"/>
        <w:szCs w:val="20"/>
      </w:rPr>
      <mc:AlternateContent>
        <mc:Choice Requires="wps">
          <w:drawing>
            <wp:inline distT="0" distB="0" distL="0" distR="0" wp14:anchorId="4DEDD16F" wp14:editId="13AF8144">
              <wp:extent cx="89621" cy="89621"/>
              <wp:effectExtent l="0" t="0" r="5715" b="5715"/>
              <wp:docPr id="1854194134" name="Rectangle 1854194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F7941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446551A3" id="Rectangle 1854194134" o:spid="_x0000_s1026" alt="&quot;&quot;"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" fillcolor="#f7941d" stroked="f" strokeweight="1pt">
              <w10:anchorlock/>
            </v:rect>
          </w:pict>
        </mc:Fallback>
      </mc:AlternateContent>
    </w:r>
    <w:r w:rsidRPr="0072068F">
      <w:rPr>
        <w:b/>
        <w:bCs/>
        <w:sz w:val="20"/>
        <w:szCs w:val="20"/>
        <w:lang w:val="en-NZ"/>
      </w:rPr>
      <w:t xml:space="preserve"> </w:t>
    </w:r>
    <w:r>
      <w:rPr>
        <w:b/>
        <w:bCs/>
        <w:sz w:val="20"/>
        <w:szCs w:val="20"/>
        <w:lang w:val="en-NZ"/>
      </w:rPr>
      <w:t xml:space="preserve">DRAFT </w:t>
    </w:r>
    <w:r w:rsidRPr="0072068F">
      <w:rPr>
        <w:sz w:val="20"/>
        <w:szCs w:val="20"/>
        <w:lang w:val="en-NZ"/>
      </w:rPr>
      <w:t xml:space="preserve">Fifth National Sexually </w:t>
    </w:r>
    <w:r w:rsidR="00EF3200" w:rsidRPr="0072068F">
      <w:rPr>
        <w:sz w:val="20"/>
        <w:szCs w:val="20"/>
        <w:lang w:val="en-NZ"/>
      </w:rPr>
      <w:t>Transmi</w:t>
    </w:r>
    <w:r w:rsidR="00EF3200">
      <w:rPr>
        <w:sz w:val="20"/>
        <w:szCs w:val="20"/>
        <w:lang w:val="en-NZ"/>
      </w:rPr>
      <w:t>ssible</w:t>
    </w:r>
    <w:r w:rsidRPr="0072068F">
      <w:rPr>
        <w:sz w:val="20"/>
        <w:szCs w:val="20"/>
        <w:lang w:val="en-NZ"/>
      </w:rPr>
      <w:t xml:space="preserve"> Infections Strategy                                 </w:t>
    </w:r>
    <w:r w:rsidR="00512633">
      <w:rPr>
        <w:sz w:val="20"/>
        <w:szCs w:val="20"/>
        <w:lang w:val="en-NZ"/>
      </w:rPr>
      <w:t xml:space="preserve">              </w:t>
    </w:r>
    <w:r w:rsidRPr="0072068F">
      <w:rPr>
        <w:sz w:val="20"/>
        <w:szCs w:val="20"/>
        <w:lang w:val="en-NZ"/>
      </w:rPr>
      <w:t>202</w:t>
    </w:r>
    <w:r w:rsidR="00806652">
      <w:rPr>
        <w:sz w:val="20"/>
        <w:szCs w:val="20"/>
        <w:lang w:val="en-NZ"/>
      </w:rPr>
      <w:t>4</w:t>
    </w:r>
    <w:r w:rsidRPr="0072068F">
      <w:rPr>
        <w:sz w:val="20"/>
        <w:szCs w:val="20"/>
        <w:lang w:val="en-NZ"/>
      </w:rPr>
      <w:t>-2030</w:t>
    </w:r>
    <w:r w:rsidRPr="0072068F">
      <w:rPr>
        <w:b/>
        <w:bCs/>
        <w:sz w:val="20"/>
        <w:szCs w:val="20"/>
        <w:lang w:val="en-NZ"/>
      </w:rPr>
      <w:t xml:space="preserve"> </w:t>
    </w:r>
  </w:p>
  <w:p w14:paraId="35CF07A4" w14:textId="3D5941AC" w:rsidR="00894F38" w:rsidRPr="001E4D19" w:rsidRDefault="00894F38" w:rsidP="001E4D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83A7C" w14:textId="1C546578" w:rsidR="00894F38" w:rsidRDefault="00894F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75B3E" w14:textId="77777777" w:rsidR="004A5946" w:rsidRDefault="004A5946" w:rsidP="001E4D19">
    <w:pPr>
      <w:pStyle w:val="Header"/>
      <w:pBdr>
        <w:bottom w:val="single" w:sz="6" w:space="1" w:color="44546A" w:themeColor="text2"/>
      </w:pBdr>
      <w:rPr>
        <w:b/>
        <w:bCs/>
        <w:sz w:val="20"/>
        <w:szCs w:val="20"/>
        <w:lang w:val="en-NZ"/>
      </w:rPr>
    </w:pPr>
  </w:p>
  <w:p w14:paraId="6F1272D6" w14:textId="77777777" w:rsidR="004A5946" w:rsidRDefault="004A5946" w:rsidP="001E4D19">
    <w:pPr>
      <w:pStyle w:val="Header"/>
      <w:pBdr>
        <w:bottom w:val="single" w:sz="6" w:space="1" w:color="44546A" w:themeColor="text2"/>
      </w:pBdr>
      <w:rPr>
        <w:b/>
        <w:bCs/>
        <w:sz w:val="20"/>
        <w:szCs w:val="20"/>
        <w:lang w:val="en-NZ"/>
      </w:rPr>
    </w:pPr>
  </w:p>
  <w:p w14:paraId="6EA429B2" w14:textId="58426B9C" w:rsidR="004A5946" w:rsidRPr="0072068F" w:rsidRDefault="004A5946" w:rsidP="001E4D19">
    <w:pPr>
      <w:pStyle w:val="Header"/>
      <w:pBdr>
        <w:bottom w:val="single" w:sz="6" w:space="1" w:color="44546A" w:themeColor="text2"/>
      </w:pBdr>
      <w:rPr>
        <w:b/>
        <w:bCs/>
        <w:sz w:val="20"/>
        <w:szCs w:val="20"/>
      </w:rPr>
    </w:pPr>
    <w:r w:rsidRPr="0072068F">
      <w:rPr>
        <w:noProof/>
        <w:sz w:val="20"/>
        <w:szCs w:val="20"/>
      </w:rPr>
      <mc:AlternateContent>
        <mc:Choice Requires="wps">
          <w:drawing>
            <wp:inline distT="0" distB="0" distL="0" distR="0" wp14:anchorId="00942E14" wp14:editId="3D87D306">
              <wp:extent cx="89621" cy="89621"/>
              <wp:effectExtent l="0" t="0" r="5715" b="5715"/>
              <wp:docPr id="250401903" name="Rectangle 250401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F7941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59FFFA19" id="Rectangle 250401903" o:spid="_x0000_s1026" alt="&quot;&quot;"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" fillcolor="#f7941d" stroked="f" strokeweight="1pt">
              <w10:anchorlock/>
            </v:rect>
          </w:pict>
        </mc:Fallback>
      </mc:AlternateContent>
    </w:r>
    <w:r w:rsidRPr="0072068F">
      <w:rPr>
        <w:b/>
        <w:bCs/>
        <w:sz w:val="20"/>
        <w:szCs w:val="20"/>
        <w:lang w:val="en-NZ"/>
      </w:rPr>
      <w:t xml:space="preserve"> </w:t>
    </w:r>
    <w:r>
      <w:rPr>
        <w:b/>
        <w:bCs/>
        <w:sz w:val="20"/>
        <w:szCs w:val="20"/>
        <w:lang w:val="en-NZ"/>
      </w:rPr>
      <w:t xml:space="preserve">DRAFT </w:t>
    </w:r>
    <w:r w:rsidRPr="0072068F">
      <w:rPr>
        <w:sz w:val="20"/>
        <w:szCs w:val="20"/>
        <w:lang w:val="en-NZ"/>
      </w:rPr>
      <w:t>Fifth National Sexually Transmi</w:t>
    </w:r>
    <w:r>
      <w:rPr>
        <w:sz w:val="20"/>
        <w:szCs w:val="20"/>
        <w:lang w:val="en-NZ"/>
      </w:rPr>
      <w:t>ssible</w:t>
    </w:r>
    <w:r w:rsidRPr="0072068F">
      <w:rPr>
        <w:sz w:val="20"/>
        <w:szCs w:val="20"/>
        <w:lang w:val="en-NZ"/>
      </w:rPr>
      <w:t xml:space="preserve"> Infections Strategy                                 </w:t>
    </w:r>
    <w:r>
      <w:rPr>
        <w:sz w:val="20"/>
        <w:szCs w:val="20"/>
        <w:lang w:val="en-NZ"/>
      </w:rPr>
      <w:t xml:space="preserve">     </w:t>
    </w:r>
    <w:r w:rsidR="00B97187">
      <w:rPr>
        <w:sz w:val="20"/>
        <w:szCs w:val="20"/>
        <w:lang w:val="en-NZ"/>
      </w:rPr>
      <w:t xml:space="preserve">              </w:t>
    </w:r>
    <w:r>
      <w:rPr>
        <w:sz w:val="20"/>
        <w:szCs w:val="20"/>
        <w:lang w:val="en-NZ"/>
      </w:rPr>
      <w:t xml:space="preserve">         </w:t>
    </w:r>
    <w:r w:rsidRPr="0072068F">
      <w:rPr>
        <w:sz w:val="20"/>
        <w:szCs w:val="20"/>
        <w:lang w:val="en-NZ"/>
      </w:rPr>
      <w:t>202</w:t>
    </w:r>
    <w:r>
      <w:rPr>
        <w:sz w:val="20"/>
        <w:szCs w:val="20"/>
        <w:lang w:val="en-NZ"/>
      </w:rPr>
      <w:t>4</w:t>
    </w:r>
    <w:r w:rsidRPr="0072068F">
      <w:rPr>
        <w:sz w:val="20"/>
        <w:szCs w:val="20"/>
        <w:lang w:val="en-NZ"/>
      </w:rPr>
      <w:t>-2030</w:t>
    </w:r>
    <w:r w:rsidRPr="0072068F">
      <w:rPr>
        <w:b/>
        <w:bCs/>
        <w:sz w:val="20"/>
        <w:szCs w:val="20"/>
        <w:lang w:val="en-NZ"/>
      </w:rPr>
      <w:t xml:space="preserve"> </w:t>
    </w:r>
  </w:p>
  <w:p w14:paraId="2AE07924" w14:textId="77777777" w:rsidR="004A5946" w:rsidRPr="001E4D19" w:rsidRDefault="004A5946" w:rsidP="001E4D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A6DB2" w14:textId="77777777" w:rsidR="004A5946" w:rsidRPr="0072068F" w:rsidRDefault="004A5946" w:rsidP="001E4D19">
    <w:pPr>
      <w:pStyle w:val="Header"/>
      <w:pBdr>
        <w:bottom w:val="single" w:sz="6" w:space="1" w:color="44546A" w:themeColor="text2"/>
      </w:pBdr>
      <w:rPr>
        <w:b/>
        <w:bCs/>
        <w:sz w:val="20"/>
        <w:szCs w:val="20"/>
      </w:rPr>
    </w:pPr>
    <w:r w:rsidRPr="0072068F">
      <w:rPr>
        <w:noProof/>
        <w:sz w:val="20"/>
        <w:szCs w:val="20"/>
      </w:rPr>
      <mc:AlternateContent>
        <mc:Choice Requires="wps">
          <w:drawing>
            <wp:inline distT="0" distB="0" distL="0" distR="0" wp14:anchorId="36DD3085" wp14:editId="550F173B">
              <wp:extent cx="89621" cy="89621"/>
              <wp:effectExtent l="0" t="0" r="5715" b="5715"/>
              <wp:docPr id="1894310790" name="Rectangle 1894310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F7941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271EE996" id="Rectangle 1894310790" o:spid="_x0000_s1026" alt="&quot;&quot;"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" fillcolor="#f7941d" stroked="f" strokeweight="1pt">
              <w10:anchorlock/>
            </v:rect>
          </w:pict>
        </mc:Fallback>
      </mc:AlternateContent>
    </w:r>
    <w:r w:rsidRPr="0072068F">
      <w:rPr>
        <w:b/>
        <w:bCs/>
        <w:sz w:val="20"/>
        <w:szCs w:val="20"/>
        <w:lang w:val="en-NZ"/>
      </w:rPr>
      <w:t xml:space="preserve"> </w:t>
    </w:r>
    <w:r>
      <w:rPr>
        <w:b/>
        <w:bCs/>
        <w:sz w:val="20"/>
        <w:szCs w:val="20"/>
        <w:lang w:val="en-NZ"/>
      </w:rPr>
      <w:t xml:space="preserve">DRAFT </w:t>
    </w:r>
    <w:r w:rsidRPr="0072068F">
      <w:rPr>
        <w:sz w:val="20"/>
        <w:szCs w:val="20"/>
        <w:lang w:val="en-NZ"/>
      </w:rPr>
      <w:t>Fifth National Sexually Transmi</w:t>
    </w:r>
    <w:r>
      <w:rPr>
        <w:sz w:val="20"/>
        <w:szCs w:val="20"/>
        <w:lang w:val="en-NZ"/>
      </w:rPr>
      <w:t>ssible</w:t>
    </w:r>
    <w:r w:rsidRPr="0072068F">
      <w:rPr>
        <w:sz w:val="20"/>
        <w:szCs w:val="20"/>
        <w:lang w:val="en-NZ"/>
      </w:rPr>
      <w:t xml:space="preserve"> Infections Strategy                                 </w:t>
    </w:r>
    <w:r>
      <w:rPr>
        <w:sz w:val="20"/>
        <w:szCs w:val="20"/>
        <w:lang w:val="en-NZ"/>
      </w:rPr>
      <w:t xml:space="preserve">              </w:t>
    </w:r>
    <w:r w:rsidRPr="0072068F">
      <w:rPr>
        <w:sz w:val="20"/>
        <w:szCs w:val="20"/>
        <w:lang w:val="en-NZ"/>
      </w:rPr>
      <w:t>202</w:t>
    </w:r>
    <w:r>
      <w:rPr>
        <w:sz w:val="20"/>
        <w:szCs w:val="20"/>
        <w:lang w:val="en-NZ"/>
      </w:rPr>
      <w:t>4</w:t>
    </w:r>
    <w:r w:rsidRPr="0072068F">
      <w:rPr>
        <w:sz w:val="20"/>
        <w:szCs w:val="20"/>
        <w:lang w:val="en-NZ"/>
      </w:rPr>
      <w:t>-2030</w:t>
    </w:r>
    <w:r w:rsidRPr="0072068F">
      <w:rPr>
        <w:b/>
        <w:bCs/>
        <w:sz w:val="20"/>
        <w:szCs w:val="20"/>
        <w:lang w:val="en-NZ"/>
      </w:rPr>
      <w:t xml:space="preserve"> </w:t>
    </w:r>
  </w:p>
  <w:p w14:paraId="354F1B75" w14:textId="77777777" w:rsidR="004A5946" w:rsidRPr="001E4D19" w:rsidRDefault="004A5946" w:rsidP="001E4D1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2WvbMhZl" int2:invalidationBookmarkName="" int2:hashCode="BEiaEruqauv/th" int2:id="EaRkUOl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97E6C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9A897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12CF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5A77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66F0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B65D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920D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58B4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CA80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E687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6A82"/>
    <w:multiLevelType w:val="multilevel"/>
    <w:tmpl w:val="3F086C5C"/>
    <w:lvl w:ilvl="0">
      <w:start w:val="8"/>
      <w:numFmt w:val="decimal"/>
      <w:lvlText w:val="%1"/>
      <w:lvlJc w:val="left"/>
      <w:pPr>
        <w:ind w:left="198" w:hanging="360"/>
      </w:pPr>
      <w:rPr>
        <w:rFonts w:hint="default"/>
        <w:sz w:val="30"/>
        <w:szCs w:val="30"/>
      </w:rPr>
    </w:lvl>
    <w:lvl w:ilvl="1">
      <w:start w:val="1"/>
      <w:numFmt w:val="decimal"/>
      <w:lvlText w:val="%1.%2"/>
      <w:lvlJc w:val="left"/>
      <w:pPr>
        <w:ind w:left="198" w:hanging="360"/>
      </w:pPr>
      <w:rPr>
        <w:rFonts w:hint="default"/>
      </w:rPr>
    </w:lvl>
    <w:lvl w:ilvl="2">
      <w:start w:val="1"/>
      <w:numFmt w:val="decimal"/>
      <w:pStyle w:val="Heading3"/>
      <w:lvlText w:val="%1.%2.%3"/>
      <w:lvlJc w:val="left"/>
      <w:pPr>
        <w:ind w:left="558"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918" w:hanging="1080"/>
      </w:pPr>
      <w:rPr>
        <w:rFonts w:hint="default"/>
      </w:rPr>
    </w:lvl>
    <w:lvl w:ilvl="5">
      <w:start w:val="1"/>
      <w:numFmt w:val="decimal"/>
      <w:lvlText w:val="%1.%2.%3.%4.%5.%6"/>
      <w:lvlJc w:val="left"/>
      <w:pPr>
        <w:ind w:left="918" w:hanging="1080"/>
      </w:pPr>
      <w:rPr>
        <w:rFonts w:hint="default"/>
      </w:rPr>
    </w:lvl>
    <w:lvl w:ilvl="6">
      <w:start w:val="1"/>
      <w:numFmt w:val="decimal"/>
      <w:lvlText w:val="%1.%2.%3.%4.%5.%6.%7"/>
      <w:lvlJc w:val="left"/>
      <w:pPr>
        <w:ind w:left="1278" w:hanging="1440"/>
      </w:pPr>
      <w:rPr>
        <w:rFonts w:hint="default"/>
      </w:rPr>
    </w:lvl>
    <w:lvl w:ilvl="7">
      <w:start w:val="1"/>
      <w:numFmt w:val="decimal"/>
      <w:lvlText w:val="%1.%2.%3.%4.%5.%6.%7.%8"/>
      <w:lvlJc w:val="left"/>
      <w:pPr>
        <w:ind w:left="1278" w:hanging="1440"/>
      </w:pPr>
      <w:rPr>
        <w:rFonts w:hint="default"/>
      </w:rPr>
    </w:lvl>
    <w:lvl w:ilvl="8">
      <w:start w:val="1"/>
      <w:numFmt w:val="decimal"/>
      <w:lvlText w:val="%1.%2.%3.%4.%5.%6.%7.%8.%9"/>
      <w:lvlJc w:val="left"/>
      <w:pPr>
        <w:ind w:left="1638" w:hanging="1800"/>
      </w:pPr>
      <w:rPr>
        <w:rFonts w:hint="default"/>
      </w:rPr>
    </w:lvl>
  </w:abstractNum>
  <w:abstractNum w:abstractNumId="11" w15:restartNumberingAfterBreak="0">
    <w:nsid w:val="03B27668"/>
    <w:multiLevelType w:val="hybridMultilevel"/>
    <w:tmpl w:val="7FAC62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66A89"/>
    <w:multiLevelType w:val="hybridMultilevel"/>
    <w:tmpl w:val="CD5845F8"/>
    <w:lvl w:ilvl="0" w:tplc="FFFFFFFF">
      <w:start w:val="1"/>
      <w:numFmt w:val="bullet"/>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924670C"/>
    <w:multiLevelType w:val="hybridMultilevel"/>
    <w:tmpl w:val="DEE81B9C"/>
    <w:lvl w:ilvl="0" w:tplc="0C090017">
      <w:start w:val="1"/>
      <w:numFmt w:val="lowerLetter"/>
      <w:lvlText w:val="%1)"/>
      <w:lvlJc w:val="left"/>
      <w:pPr>
        <w:ind w:left="360" w:hanging="360"/>
      </w:pPr>
      <w:rPr>
        <w:rFonts w:hint="default"/>
        <w:b w:val="0"/>
        <w:bCs w:val="0"/>
        <w:i w:val="0"/>
        <w:i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C6B2596"/>
    <w:multiLevelType w:val="hybridMultilevel"/>
    <w:tmpl w:val="4558998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E31D9A"/>
    <w:multiLevelType w:val="hybridMultilevel"/>
    <w:tmpl w:val="0E784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8645D6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9A16521"/>
    <w:multiLevelType w:val="hybridMultilevel"/>
    <w:tmpl w:val="C1B60876"/>
    <w:lvl w:ilvl="0" w:tplc="32927C00">
      <w:start w:val="1"/>
      <w:numFmt w:val="bullet"/>
      <w:lvlText w:val=""/>
      <w:lvlJc w:val="left"/>
      <w:pPr>
        <w:ind w:left="360" w:hanging="360"/>
      </w:pPr>
      <w:rPr>
        <w:rFonts w:ascii="Symbol" w:hAnsi="Symbol" w:hint="default"/>
        <w:color w:val="auto"/>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85445D"/>
    <w:multiLevelType w:val="hybridMultilevel"/>
    <w:tmpl w:val="DE60AEE2"/>
    <w:lvl w:ilvl="0" w:tplc="FFFFFFFF">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595D53"/>
    <w:multiLevelType w:val="hybridMultilevel"/>
    <w:tmpl w:val="FE022D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D32816"/>
    <w:multiLevelType w:val="hybridMultilevel"/>
    <w:tmpl w:val="CB60C50C"/>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9B12291"/>
    <w:multiLevelType w:val="multilevel"/>
    <w:tmpl w:val="3F7CF138"/>
    <w:styleLink w:val="NumberedHeadings"/>
    <w:lvl w:ilvl="0">
      <w:start w:val="1"/>
      <w:numFmt w:val="decimal"/>
      <w:lvlText w:val="%1."/>
      <w:lvlJc w:val="left"/>
      <w:pPr>
        <w:ind w:left="397" w:hanging="39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9DB0467"/>
    <w:multiLevelType w:val="hybridMultilevel"/>
    <w:tmpl w:val="C5943C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D8A340D"/>
    <w:multiLevelType w:val="hybridMultilevel"/>
    <w:tmpl w:val="37FE8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DD61B1F"/>
    <w:multiLevelType w:val="hybridMultilevel"/>
    <w:tmpl w:val="5DDAE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3190CE3"/>
    <w:multiLevelType w:val="hybridMultilevel"/>
    <w:tmpl w:val="9B40592A"/>
    <w:lvl w:ilvl="0" w:tplc="08090005">
      <w:start w:val="1"/>
      <w:numFmt w:val="bullet"/>
      <w:lvlText w:val=""/>
      <w:lvlJc w:val="left"/>
      <w:pPr>
        <w:ind w:left="36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C929E4"/>
    <w:multiLevelType w:val="hybridMultilevel"/>
    <w:tmpl w:val="B8562A24"/>
    <w:lvl w:ilvl="0" w:tplc="32927C00">
      <w:start w:val="1"/>
      <w:numFmt w:val="bullet"/>
      <w:lvlText w:val=""/>
      <w:lvlJc w:val="left"/>
      <w:pPr>
        <w:ind w:left="360" w:hanging="360"/>
      </w:pPr>
      <w:rPr>
        <w:rFonts w:ascii="Symbol" w:hAnsi="Symbol" w:hint="default"/>
        <w:color w:val="auto"/>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623123C"/>
    <w:multiLevelType w:val="hybridMultilevel"/>
    <w:tmpl w:val="F5FA2754"/>
    <w:lvl w:ilvl="0" w:tplc="FFFFFFFF">
      <w:start w:val="1"/>
      <w:numFmt w:val="decimal"/>
      <w:lvlText w:val="%1."/>
      <w:lvlJc w:val="left"/>
      <w:pPr>
        <w:ind w:left="360" w:hanging="360"/>
      </w:pPr>
      <w:rPr>
        <w:b w:val="0"/>
        <w:bCs w:val="0"/>
        <w:i w:val="0"/>
        <w:iCs w:val="0"/>
      </w:rPr>
    </w:lvl>
    <w:lvl w:ilvl="1" w:tplc="0C090017">
      <w:start w:val="1"/>
      <w:numFmt w:val="lowerLetter"/>
      <w:lvlText w:val="%2)"/>
      <w:lvlJc w:val="left"/>
      <w:pPr>
        <w:ind w:left="36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6A75BC8"/>
    <w:multiLevelType w:val="hybridMultilevel"/>
    <w:tmpl w:val="49385B48"/>
    <w:lvl w:ilvl="0" w:tplc="0C090001">
      <w:start w:val="1"/>
      <w:numFmt w:val="bullet"/>
      <w:lvlText w:val=""/>
      <w:lvlJc w:val="left"/>
      <w:pPr>
        <w:ind w:left="890" w:hanging="360"/>
      </w:pPr>
      <w:rPr>
        <w:rFonts w:ascii="Symbol" w:hAnsi="Symbol"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30" w15:restartNumberingAfterBreak="0">
    <w:nsid w:val="3D9A7DB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DF51F74"/>
    <w:multiLevelType w:val="hybridMultilevel"/>
    <w:tmpl w:val="1EE0E156"/>
    <w:lvl w:ilvl="0" w:tplc="08090005">
      <w:start w:val="1"/>
      <w:numFmt w:val="bullet"/>
      <w:lvlText w:val=""/>
      <w:lvlJc w:val="left"/>
      <w:pPr>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4AB96A58"/>
    <w:multiLevelType w:val="multilevel"/>
    <w:tmpl w:val="B3847944"/>
    <w:lvl w:ilvl="0">
      <w:start w:val="2"/>
      <w:numFmt w:val="decimal"/>
      <w:pStyle w:val="Heading1"/>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b/>
        <w:bCs/>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C023ACE"/>
    <w:multiLevelType w:val="hybridMultilevel"/>
    <w:tmpl w:val="70C6F3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4EB07416"/>
    <w:multiLevelType w:val="multilevel"/>
    <w:tmpl w:val="2264D084"/>
    <w:lvl w:ilvl="0">
      <w:start w:val="1"/>
      <w:numFmt w:val="decimal"/>
      <w:pStyle w:val="NumberedHeading1"/>
      <w:lvlText w:val="%1."/>
      <w:lvlJc w:val="left"/>
      <w:pPr>
        <w:ind w:left="397" w:hanging="397"/>
      </w:pPr>
      <w:rPr>
        <w:rFonts w:hint="default"/>
      </w:rPr>
    </w:lvl>
    <w:lvl w:ilvl="1">
      <w:start w:val="1"/>
      <w:numFmt w:val="decimal"/>
      <w:pStyle w:val="NumberedHeading2"/>
      <w:lvlText w:val="%1.%2."/>
      <w:lvlJc w:val="left"/>
      <w:pPr>
        <w:ind w:left="851" w:hanging="851"/>
      </w:pPr>
      <w:rPr>
        <w:rFonts w:hint="default"/>
      </w:rPr>
    </w:lvl>
    <w:lvl w:ilvl="2">
      <w:start w:val="1"/>
      <w:numFmt w:val="decimal"/>
      <w:pStyle w:val="Numbered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93B6925"/>
    <w:multiLevelType w:val="hybridMultilevel"/>
    <w:tmpl w:val="D6A06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A4B33E7"/>
    <w:multiLevelType w:val="hybridMultilevel"/>
    <w:tmpl w:val="8BB62CA4"/>
    <w:lvl w:ilvl="0" w:tplc="08090005">
      <w:start w:val="1"/>
      <w:numFmt w:val="bullet"/>
      <w:lvlText w:val=""/>
      <w:lvlJc w:val="left"/>
      <w:pPr>
        <w:ind w:left="36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535EDD"/>
    <w:multiLevelType w:val="hybridMultilevel"/>
    <w:tmpl w:val="F0FCBC86"/>
    <w:lvl w:ilvl="0" w:tplc="0C090001">
      <w:start w:val="1"/>
      <w:numFmt w:val="bullet"/>
      <w:lvlText w:val=""/>
      <w:lvlJc w:val="left"/>
      <w:pPr>
        <w:ind w:left="890" w:hanging="360"/>
      </w:pPr>
      <w:rPr>
        <w:rFonts w:ascii="Symbol" w:hAnsi="Symbol"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38" w15:restartNumberingAfterBreak="0">
    <w:nsid w:val="6023728C"/>
    <w:multiLevelType w:val="hybridMultilevel"/>
    <w:tmpl w:val="7048D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534840"/>
    <w:multiLevelType w:val="hybridMultilevel"/>
    <w:tmpl w:val="2632D4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9C52CE"/>
    <w:multiLevelType w:val="multilevel"/>
    <w:tmpl w:val="970ADEB0"/>
    <w:lvl w:ilvl="0">
      <w:start w:val="8"/>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6817998"/>
    <w:multiLevelType w:val="hybridMultilevel"/>
    <w:tmpl w:val="1374C04E"/>
    <w:lvl w:ilvl="0" w:tplc="046ABF38">
      <w:start w:val="1"/>
      <w:numFmt w:val="bullet"/>
      <w:pStyle w:val="Dotpointinfo"/>
      <w:lvlText w:val=""/>
      <w:lvlJc w:val="left"/>
      <w:pPr>
        <w:ind w:left="720" w:hanging="360"/>
      </w:pPr>
      <w:rPr>
        <w:rFonts w:ascii="Symbol" w:hAnsi="Symbol" w:hint="default"/>
      </w:rPr>
    </w:lvl>
    <w:lvl w:ilvl="1" w:tplc="0C090003" w:tentative="1">
      <w:start w:val="1"/>
      <w:numFmt w:val="bullet"/>
      <w:pStyle w:val="2Dot-poin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0A5E93"/>
    <w:multiLevelType w:val="hybridMultilevel"/>
    <w:tmpl w:val="85465924"/>
    <w:lvl w:ilvl="0" w:tplc="32927C00">
      <w:start w:val="1"/>
      <w:numFmt w:val="bullet"/>
      <w:lvlText w:val=""/>
      <w:lvlJc w:val="left"/>
      <w:pPr>
        <w:ind w:left="360" w:hanging="360"/>
      </w:pPr>
      <w:rPr>
        <w:rFonts w:ascii="Symbol" w:hAnsi="Symbol" w:hint="default"/>
        <w:color w:val="auto"/>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7295566">
    <w:abstractNumId w:val="30"/>
  </w:num>
  <w:num w:numId="2" w16cid:durableId="5255817">
    <w:abstractNumId w:val="17"/>
  </w:num>
  <w:num w:numId="3" w16cid:durableId="269434713">
    <w:abstractNumId w:val="10"/>
  </w:num>
  <w:num w:numId="4" w16cid:durableId="1864317383">
    <w:abstractNumId w:val="41"/>
  </w:num>
  <w:num w:numId="5" w16cid:durableId="1293100765">
    <w:abstractNumId w:val="34"/>
  </w:num>
  <w:num w:numId="6" w16cid:durableId="1920863621">
    <w:abstractNumId w:val="22"/>
  </w:num>
  <w:num w:numId="7" w16cid:durableId="1868375091">
    <w:abstractNumId w:val="40"/>
  </w:num>
  <w:num w:numId="8" w16cid:durableId="679242258">
    <w:abstractNumId w:val="24"/>
  </w:num>
  <w:num w:numId="9" w16cid:durableId="1854564972">
    <w:abstractNumId w:val="33"/>
  </w:num>
  <w:num w:numId="10" w16cid:durableId="1148745365">
    <w:abstractNumId w:val="35"/>
  </w:num>
  <w:num w:numId="11" w16cid:durableId="1484082838">
    <w:abstractNumId w:val="12"/>
  </w:num>
  <w:num w:numId="12" w16cid:durableId="5524073">
    <w:abstractNumId w:val="23"/>
  </w:num>
  <w:num w:numId="13" w16cid:durableId="331416075">
    <w:abstractNumId w:val="19"/>
  </w:num>
  <w:num w:numId="14" w16cid:durableId="159656810">
    <w:abstractNumId w:val="20"/>
  </w:num>
  <w:num w:numId="15" w16cid:durableId="596017056">
    <w:abstractNumId w:val="11"/>
  </w:num>
  <w:num w:numId="16" w16cid:durableId="463237771">
    <w:abstractNumId w:val="39"/>
  </w:num>
  <w:num w:numId="17" w16cid:durableId="732851622">
    <w:abstractNumId w:val="21"/>
  </w:num>
  <w:num w:numId="18" w16cid:durableId="1947345337">
    <w:abstractNumId w:val="31"/>
  </w:num>
  <w:num w:numId="19" w16cid:durableId="1336110967">
    <w:abstractNumId w:val="26"/>
  </w:num>
  <w:num w:numId="20" w16cid:durableId="816989840">
    <w:abstractNumId w:val="36"/>
  </w:num>
  <w:num w:numId="21" w16cid:durableId="886836967">
    <w:abstractNumId w:val="32"/>
  </w:num>
  <w:num w:numId="22" w16cid:durableId="1286428597">
    <w:abstractNumId w:val="15"/>
  </w:num>
  <w:num w:numId="23" w16cid:durableId="659895009">
    <w:abstractNumId w:val="14"/>
  </w:num>
  <w:num w:numId="24" w16cid:durableId="1553274098">
    <w:abstractNumId w:val="13"/>
  </w:num>
  <w:num w:numId="25" w16cid:durableId="205339282">
    <w:abstractNumId w:val="28"/>
  </w:num>
  <w:num w:numId="26" w16cid:durableId="1686059067">
    <w:abstractNumId w:val="29"/>
  </w:num>
  <w:num w:numId="27" w16cid:durableId="30959940">
    <w:abstractNumId w:val="37"/>
  </w:num>
  <w:num w:numId="28" w16cid:durableId="135152402">
    <w:abstractNumId w:val="25"/>
  </w:num>
  <w:num w:numId="29" w16cid:durableId="2114936794">
    <w:abstractNumId w:val="42"/>
  </w:num>
  <w:num w:numId="30" w16cid:durableId="991955425">
    <w:abstractNumId w:val="27"/>
  </w:num>
  <w:num w:numId="31" w16cid:durableId="2134590195">
    <w:abstractNumId w:val="18"/>
  </w:num>
  <w:num w:numId="32" w16cid:durableId="616181185">
    <w:abstractNumId w:val="38"/>
  </w:num>
  <w:num w:numId="33" w16cid:durableId="1883440518">
    <w:abstractNumId w:val="16"/>
  </w:num>
  <w:num w:numId="34" w16cid:durableId="456720561">
    <w:abstractNumId w:val="9"/>
  </w:num>
  <w:num w:numId="35" w16cid:durableId="1883712318">
    <w:abstractNumId w:val="7"/>
  </w:num>
  <w:num w:numId="36" w16cid:durableId="33773057">
    <w:abstractNumId w:val="6"/>
  </w:num>
  <w:num w:numId="37" w16cid:durableId="399789416">
    <w:abstractNumId w:val="5"/>
  </w:num>
  <w:num w:numId="38" w16cid:durableId="1960525530">
    <w:abstractNumId w:val="4"/>
  </w:num>
  <w:num w:numId="39" w16cid:durableId="1666275890">
    <w:abstractNumId w:val="8"/>
  </w:num>
  <w:num w:numId="40" w16cid:durableId="1557738951">
    <w:abstractNumId w:val="3"/>
  </w:num>
  <w:num w:numId="41" w16cid:durableId="417944447">
    <w:abstractNumId w:val="2"/>
  </w:num>
  <w:num w:numId="42" w16cid:durableId="2111118424">
    <w:abstractNumId w:val="1"/>
  </w:num>
  <w:num w:numId="43" w16cid:durableId="1993826516">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zMDc0NzU2Mjc0NjVT0lEKTi0uzszPAykwNKgFAGoBIbstAAAA"/>
  </w:docVars>
  <w:rsids>
    <w:rsidRoot w:val="00087943"/>
    <w:rsid w:val="000000C2"/>
    <w:rsid w:val="00001145"/>
    <w:rsid w:val="000016A4"/>
    <w:rsid w:val="00001C95"/>
    <w:rsid w:val="00001E71"/>
    <w:rsid w:val="00001ED4"/>
    <w:rsid w:val="00001FF5"/>
    <w:rsid w:val="000020FE"/>
    <w:rsid w:val="000021CF"/>
    <w:rsid w:val="000026BA"/>
    <w:rsid w:val="00002E53"/>
    <w:rsid w:val="000034D9"/>
    <w:rsid w:val="000039E7"/>
    <w:rsid w:val="00003B07"/>
    <w:rsid w:val="00004116"/>
    <w:rsid w:val="000042DB"/>
    <w:rsid w:val="00004E43"/>
    <w:rsid w:val="00005666"/>
    <w:rsid w:val="0000580A"/>
    <w:rsid w:val="00005926"/>
    <w:rsid w:val="00005D69"/>
    <w:rsid w:val="00005E92"/>
    <w:rsid w:val="000060F9"/>
    <w:rsid w:val="0000612E"/>
    <w:rsid w:val="00006EB2"/>
    <w:rsid w:val="000079F8"/>
    <w:rsid w:val="00007C5C"/>
    <w:rsid w:val="00007D0E"/>
    <w:rsid w:val="00007F16"/>
    <w:rsid w:val="0001056F"/>
    <w:rsid w:val="00011375"/>
    <w:rsid w:val="00011503"/>
    <w:rsid w:val="00011554"/>
    <w:rsid w:val="000120CD"/>
    <w:rsid w:val="00012797"/>
    <w:rsid w:val="00012C7B"/>
    <w:rsid w:val="00012CB4"/>
    <w:rsid w:val="000137AB"/>
    <w:rsid w:val="00013B41"/>
    <w:rsid w:val="00013DC2"/>
    <w:rsid w:val="0001484E"/>
    <w:rsid w:val="00014B68"/>
    <w:rsid w:val="00014D75"/>
    <w:rsid w:val="000150F2"/>
    <w:rsid w:val="000152E6"/>
    <w:rsid w:val="0001555F"/>
    <w:rsid w:val="00015C22"/>
    <w:rsid w:val="00015C36"/>
    <w:rsid w:val="0001605D"/>
    <w:rsid w:val="00017116"/>
    <w:rsid w:val="00017307"/>
    <w:rsid w:val="00017423"/>
    <w:rsid w:val="0001767F"/>
    <w:rsid w:val="000178A6"/>
    <w:rsid w:val="0001794E"/>
    <w:rsid w:val="00017FC3"/>
    <w:rsid w:val="000201A6"/>
    <w:rsid w:val="000202E7"/>
    <w:rsid w:val="00020698"/>
    <w:rsid w:val="00020956"/>
    <w:rsid w:val="00020A2C"/>
    <w:rsid w:val="00020FA7"/>
    <w:rsid w:val="0002134E"/>
    <w:rsid w:val="0002141C"/>
    <w:rsid w:val="00021505"/>
    <w:rsid w:val="0002153A"/>
    <w:rsid w:val="0002176D"/>
    <w:rsid w:val="00021B85"/>
    <w:rsid w:val="00021E3C"/>
    <w:rsid w:val="00021F7F"/>
    <w:rsid w:val="0002214F"/>
    <w:rsid w:val="0002246C"/>
    <w:rsid w:val="000225A1"/>
    <w:rsid w:val="0002263C"/>
    <w:rsid w:val="00022658"/>
    <w:rsid w:val="00022983"/>
    <w:rsid w:val="00023152"/>
    <w:rsid w:val="000231BF"/>
    <w:rsid w:val="00023A09"/>
    <w:rsid w:val="00023A55"/>
    <w:rsid w:val="00023D24"/>
    <w:rsid w:val="00023F42"/>
    <w:rsid w:val="000240C7"/>
    <w:rsid w:val="00024120"/>
    <w:rsid w:val="0002426E"/>
    <w:rsid w:val="00024326"/>
    <w:rsid w:val="00024718"/>
    <w:rsid w:val="00024908"/>
    <w:rsid w:val="00024AC7"/>
    <w:rsid w:val="00025666"/>
    <w:rsid w:val="000263FE"/>
    <w:rsid w:val="00026586"/>
    <w:rsid w:val="00027643"/>
    <w:rsid w:val="00027839"/>
    <w:rsid w:val="00027A81"/>
    <w:rsid w:val="00027B0A"/>
    <w:rsid w:val="00027CFA"/>
    <w:rsid w:val="000300AB"/>
    <w:rsid w:val="00030451"/>
    <w:rsid w:val="00030493"/>
    <w:rsid w:val="0003076F"/>
    <w:rsid w:val="0003093E"/>
    <w:rsid w:val="00030A21"/>
    <w:rsid w:val="00030ABD"/>
    <w:rsid w:val="00030CB3"/>
    <w:rsid w:val="0003104E"/>
    <w:rsid w:val="000310BC"/>
    <w:rsid w:val="00031177"/>
    <w:rsid w:val="00031311"/>
    <w:rsid w:val="00031429"/>
    <w:rsid w:val="000314E5"/>
    <w:rsid w:val="0003160C"/>
    <w:rsid w:val="0003181B"/>
    <w:rsid w:val="00031E79"/>
    <w:rsid w:val="00032261"/>
    <w:rsid w:val="000322B7"/>
    <w:rsid w:val="00032585"/>
    <w:rsid w:val="00032EC5"/>
    <w:rsid w:val="00032EFF"/>
    <w:rsid w:val="00033A10"/>
    <w:rsid w:val="00033D1D"/>
    <w:rsid w:val="00033D50"/>
    <w:rsid w:val="0003458E"/>
    <w:rsid w:val="0003461D"/>
    <w:rsid w:val="00035094"/>
    <w:rsid w:val="00035375"/>
    <w:rsid w:val="00035789"/>
    <w:rsid w:val="00035B2C"/>
    <w:rsid w:val="00035FD7"/>
    <w:rsid w:val="0003685F"/>
    <w:rsid w:val="00036A46"/>
    <w:rsid w:val="00036A97"/>
    <w:rsid w:val="00036C80"/>
    <w:rsid w:val="00037416"/>
    <w:rsid w:val="0003744F"/>
    <w:rsid w:val="00037896"/>
    <w:rsid w:val="000378AC"/>
    <w:rsid w:val="00037C57"/>
    <w:rsid w:val="00037D8B"/>
    <w:rsid w:val="00037EB9"/>
    <w:rsid w:val="00037FB1"/>
    <w:rsid w:val="0004008B"/>
    <w:rsid w:val="000403E0"/>
    <w:rsid w:val="00040422"/>
    <w:rsid w:val="0004048D"/>
    <w:rsid w:val="000408B8"/>
    <w:rsid w:val="00040AE7"/>
    <w:rsid w:val="00040F75"/>
    <w:rsid w:val="0004117C"/>
    <w:rsid w:val="0004162A"/>
    <w:rsid w:val="00041DD0"/>
    <w:rsid w:val="00042516"/>
    <w:rsid w:val="000425F0"/>
    <w:rsid w:val="000427AA"/>
    <w:rsid w:val="000431AE"/>
    <w:rsid w:val="000433E1"/>
    <w:rsid w:val="0004378A"/>
    <w:rsid w:val="00044100"/>
    <w:rsid w:val="00044208"/>
    <w:rsid w:val="00044390"/>
    <w:rsid w:val="00044440"/>
    <w:rsid w:val="00044B86"/>
    <w:rsid w:val="00044E08"/>
    <w:rsid w:val="0004550F"/>
    <w:rsid w:val="000455F7"/>
    <w:rsid w:val="00045AE6"/>
    <w:rsid w:val="000464F0"/>
    <w:rsid w:val="00047189"/>
    <w:rsid w:val="00047315"/>
    <w:rsid w:val="0004761F"/>
    <w:rsid w:val="00047EED"/>
    <w:rsid w:val="00050198"/>
    <w:rsid w:val="00050280"/>
    <w:rsid w:val="00050411"/>
    <w:rsid w:val="000508B8"/>
    <w:rsid w:val="0005164F"/>
    <w:rsid w:val="0005173F"/>
    <w:rsid w:val="000517C0"/>
    <w:rsid w:val="00051E57"/>
    <w:rsid w:val="000520A5"/>
    <w:rsid w:val="0005217C"/>
    <w:rsid w:val="00052C85"/>
    <w:rsid w:val="0005351E"/>
    <w:rsid w:val="0005373B"/>
    <w:rsid w:val="00053C07"/>
    <w:rsid w:val="0005453A"/>
    <w:rsid w:val="000545FC"/>
    <w:rsid w:val="000546F6"/>
    <w:rsid w:val="0005484C"/>
    <w:rsid w:val="00054D1B"/>
    <w:rsid w:val="00054E06"/>
    <w:rsid w:val="00054EF0"/>
    <w:rsid w:val="00054F89"/>
    <w:rsid w:val="0005535E"/>
    <w:rsid w:val="00055914"/>
    <w:rsid w:val="000560D9"/>
    <w:rsid w:val="00056105"/>
    <w:rsid w:val="000561BD"/>
    <w:rsid w:val="000561FE"/>
    <w:rsid w:val="00056323"/>
    <w:rsid w:val="000566D3"/>
    <w:rsid w:val="00056A1A"/>
    <w:rsid w:val="00056CDC"/>
    <w:rsid w:val="000574E5"/>
    <w:rsid w:val="00057804"/>
    <w:rsid w:val="00057CFA"/>
    <w:rsid w:val="00057E20"/>
    <w:rsid w:val="00060A73"/>
    <w:rsid w:val="00060D5F"/>
    <w:rsid w:val="000614C8"/>
    <w:rsid w:val="0006178C"/>
    <w:rsid w:val="00061D00"/>
    <w:rsid w:val="00061D53"/>
    <w:rsid w:val="0006230D"/>
    <w:rsid w:val="00062439"/>
    <w:rsid w:val="0006262C"/>
    <w:rsid w:val="00062B5B"/>
    <w:rsid w:val="000630CD"/>
    <w:rsid w:val="00063333"/>
    <w:rsid w:val="000634F3"/>
    <w:rsid w:val="0006376A"/>
    <w:rsid w:val="00063778"/>
    <w:rsid w:val="00064315"/>
    <w:rsid w:val="000648CF"/>
    <w:rsid w:val="00064A6E"/>
    <w:rsid w:val="00064B5A"/>
    <w:rsid w:val="00064D3C"/>
    <w:rsid w:val="000654A8"/>
    <w:rsid w:val="00065535"/>
    <w:rsid w:val="00065A25"/>
    <w:rsid w:val="00066000"/>
    <w:rsid w:val="000660A7"/>
    <w:rsid w:val="0006619C"/>
    <w:rsid w:val="000665EE"/>
    <w:rsid w:val="000668CF"/>
    <w:rsid w:val="00066B0A"/>
    <w:rsid w:val="00066C93"/>
    <w:rsid w:val="00066D19"/>
    <w:rsid w:val="00066F21"/>
    <w:rsid w:val="00067139"/>
    <w:rsid w:val="000674BF"/>
    <w:rsid w:val="00067754"/>
    <w:rsid w:val="00067996"/>
    <w:rsid w:val="00067C26"/>
    <w:rsid w:val="0007004F"/>
    <w:rsid w:val="0007057B"/>
    <w:rsid w:val="000709E0"/>
    <w:rsid w:val="00070DBA"/>
    <w:rsid w:val="00070FB5"/>
    <w:rsid w:val="000713C9"/>
    <w:rsid w:val="0007188C"/>
    <w:rsid w:val="00071BB1"/>
    <w:rsid w:val="00072426"/>
    <w:rsid w:val="00072470"/>
    <w:rsid w:val="000725CF"/>
    <w:rsid w:val="0007268E"/>
    <w:rsid w:val="00072732"/>
    <w:rsid w:val="000728F4"/>
    <w:rsid w:val="00072982"/>
    <w:rsid w:val="00072A58"/>
    <w:rsid w:val="00072BA2"/>
    <w:rsid w:val="00072C42"/>
    <w:rsid w:val="000731DE"/>
    <w:rsid w:val="00073287"/>
    <w:rsid w:val="0007458F"/>
    <w:rsid w:val="00074631"/>
    <w:rsid w:val="0007475B"/>
    <w:rsid w:val="00074B23"/>
    <w:rsid w:val="000753C8"/>
    <w:rsid w:val="000754C3"/>
    <w:rsid w:val="00075736"/>
    <w:rsid w:val="000757B4"/>
    <w:rsid w:val="000758FA"/>
    <w:rsid w:val="00075AD2"/>
    <w:rsid w:val="00075EB8"/>
    <w:rsid w:val="00076001"/>
    <w:rsid w:val="00076266"/>
    <w:rsid w:val="00076F05"/>
    <w:rsid w:val="00076F8D"/>
    <w:rsid w:val="0007747A"/>
    <w:rsid w:val="0007786A"/>
    <w:rsid w:val="000801B6"/>
    <w:rsid w:val="000801D6"/>
    <w:rsid w:val="000802FA"/>
    <w:rsid w:val="000804E3"/>
    <w:rsid w:val="00080B0E"/>
    <w:rsid w:val="00080B0F"/>
    <w:rsid w:val="00080FE0"/>
    <w:rsid w:val="00081055"/>
    <w:rsid w:val="000814CB"/>
    <w:rsid w:val="00081619"/>
    <w:rsid w:val="00081820"/>
    <w:rsid w:val="00081B05"/>
    <w:rsid w:val="00081DDE"/>
    <w:rsid w:val="000821DF"/>
    <w:rsid w:val="0008236A"/>
    <w:rsid w:val="00082440"/>
    <w:rsid w:val="00082998"/>
    <w:rsid w:val="00082B31"/>
    <w:rsid w:val="00082B45"/>
    <w:rsid w:val="00082E33"/>
    <w:rsid w:val="000834A9"/>
    <w:rsid w:val="0008353F"/>
    <w:rsid w:val="0008375D"/>
    <w:rsid w:val="00083923"/>
    <w:rsid w:val="00083A8B"/>
    <w:rsid w:val="00083BC0"/>
    <w:rsid w:val="000844BA"/>
    <w:rsid w:val="00084B67"/>
    <w:rsid w:val="00084D30"/>
    <w:rsid w:val="00085083"/>
    <w:rsid w:val="0008541E"/>
    <w:rsid w:val="000854A8"/>
    <w:rsid w:val="00085522"/>
    <w:rsid w:val="000855F2"/>
    <w:rsid w:val="000856E1"/>
    <w:rsid w:val="00085CA4"/>
    <w:rsid w:val="00085E4A"/>
    <w:rsid w:val="00086779"/>
    <w:rsid w:val="0008685A"/>
    <w:rsid w:val="00086BF7"/>
    <w:rsid w:val="000874C3"/>
    <w:rsid w:val="00087733"/>
    <w:rsid w:val="00087877"/>
    <w:rsid w:val="00087943"/>
    <w:rsid w:val="00090116"/>
    <w:rsid w:val="000902DD"/>
    <w:rsid w:val="00090500"/>
    <w:rsid w:val="000906B4"/>
    <w:rsid w:val="000907C5"/>
    <w:rsid w:val="00090805"/>
    <w:rsid w:val="00090F4F"/>
    <w:rsid w:val="00090FAD"/>
    <w:rsid w:val="00091840"/>
    <w:rsid w:val="00091C48"/>
    <w:rsid w:val="00091CB8"/>
    <w:rsid w:val="00091D05"/>
    <w:rsid w:val="00091DEB"/>
    <w:rsid w:val="00092259"/>
    <w:rsid w:val="00092359"/>
    <w:rsid w:val="00092755"/>
    <w:rsid w:val="000934E9"/>
    <w:rsid w:val="000934EC"/>
    <w:rsid w:val="00093670"/>
    <w:rsid w:val="000946AC"/>
    <w:rsid w:val="00094750"/>
    <w:rsid w:val="00094BB0"/>
    <w:rsid w:val="00094F4F"/>
    <w:rsid w:val="00094FBD"/>
    <w:rsid w:val="0009510B"/>
    <w:rsid w:val="0009514A"/>
    <w:rsid w:val="00095186"/>
    <w:rsid w:val="00095281"/>
    <w:rsid w:val="00095914"/>
    <w:rsid w:val="00095984"/>
    <w:rsid w:val="00095A7D"/>
    <w:rsid w:val="00095B85"/>
    <w:rsid w:val="00095B8B"/>
    <w:rsid w:val="00095DF1"/>
    <w:rsid w:val="00096048"/>
    <w:rsid w:val="0009607C"/>
    <w:rsid w:val="00096095"/>
    <w:rsid w:val="00096225"/>
    <w:rsid w:val="00096833"/>
    <w:rsid w:val="0009697F"/>
    <w:rsid w:val="000969C7"/>
    <w:rsid w:val="00096C4E"/>
    <w:rsid w:val="00096DE6"/>
    <w:rsid w:val="00096E7B"/>
    <w:rsid w:val="00097175"/>
    <w:rsid w:val="0009726B"/>
    <w:rsid w:val="00097784"/>
    <w:rsid w:val="00097967"/>
    <w:rsid w:val="00097FC4"/>
    <w:rsid w:val="000A028B"/>
    <w:rsid w:val="000A04A3"/>
    <w:rsid w:val="000A06A1"/>
    <w:rsid w:val="000A08C1"/>
    <w:rsid w:val="000A1096"/>
    <w:rsid w:val="000A15AA"/>
    <w:rsid w:val="000A2020"/>
    <w:rsid w:val="000A258E"/>
    <w:rsid w:val="000A2610"/>
    <w:rsid w:val="000A279E"/>
    <w:rsid w:val="000A2A38"/>
    <w:rsid w:val="000A2E99"/>
    <w:rsid w:val="000A3117"/>
    <w:rsid w:val="000A3829"/>
    <w:rsid w:val="000A3B92"/>
    <w:rsid w:val="000A3D63"/>
    <w:rsid w:val="000A41B1"/>
    <w:rsid w:val="000A477C"/>
    <w:rsid w:val="000A4C41"/>
    <w:rsid w:val="000A548A"/>
    <w:rsid w:val="000A55A9"/>
    <w:rsid w:val="000A55F7"/>
    <w:rsid w:val="000A55FE"/>
    <w:rsid w:val="000A57EB"/>
    <w:rsid w:val="000A5BAC"/>
    <w:rsid w:val="000A5CE9"/>
    <w:rsid w:val="000A625B"/>
    <w:rsid w:val="000A6B15"/>
    <w:rsid w:val="000A6B9E"/>
    <w:rsid w:val="000A6F3C"/>
    <w:rsid w:val="000A709A"/>
    <w:rsid w:val="000A7AC7"/>
    <w:rsid w:val="000A7E44"/>
    <w:rsid w:val="000A7FE1"/>
    <w:rsid w:val="000B0331"/>
    <w:rsid w:val="000B033E"/>
    <w:rsid w:val="000B0468"/>
    <w:rsid w:val="000B046B"/>
    <w:rsid w:val="000B0709"/>
    <w:rsid w:val="000B0861"/>
    <w:rsid w:val="000B0E3B"/>
    <w:rsid w:val="000B1067"/>
    <w:rsid w:val="000B109B"/>
    <w:rsid w:val="000B10A1"/>
    <w:rsid w:val="000B144F"/>
    <w:rsid w:val="000B14D4"/>
    <w:rsid w:val="000B15AA"/>
    <w:rsid w:val="000B1933"/>
    <w:rsid w:val="000B221B"/>
    <w:rsid w:val="000B2414"/>
    <w:rsid w:val="000B2522"/>
    <w:rsid w:val="000B2538"/>
    <w:rsid w:val="000B2560"/>
    <w:rsid w:val="000B25D9"/>
    <w:rsid w:val="000B2637"/>
    <w:rsid w:val="000B2B4E"/>
    <w:rsid w:val="000B2D2D"/>
    <w:rsid w:val="000B3048"/>
    <w:rsid w:val="000B30D1"/>
    <w:rsid w:val="000B31D4"/>
    <w:rsid w:val="000B3527"/>
    <w:rsid w:val="000B355F"/>
    <w:rsid w:val="000B3597"/>
    <w:rsid w:val="000B43ED"/>
    <w:rsid w:val="000B4AEC"/>
    <w:rsid w:val="000B4E22"/>
    <w:rsid w:val="000B4EF5"/>
    <w:rsid w:val="000B4EF8"/>
    <w:rsid w:val="000B5028"/>
    <w:rsid w:val="000B5043"/>
    <w:rsid w:val="000B5112"/>
    <w:rsid w:val="000B5304"/>
    <w:rsid w:val="000B5736"/>
    <w:rsid w:val="000B58F3"/>
    <w:rsid w:val="000B5DC0"/>
    <w:rsid w:val="000B6378"/>
    <w:rsid w:val="000B66F6"/>
    <w:rsid w:val="000B6B11"/>
    <w:rsid w:val="000B6E47"/>
    <w:rsid w:val="000B7360"/>
    <w:rsid w:val="000B736C"/>
    <w:rsid w:val="000B74DA"/>
    <w:rsid w:val="000B7792"/>
    <w:rsid w:val="000B7C47"/>
    <w:rsid w:val="000B7E77"/>
    <w:rsid w:val="000B7F3C"/>
    <w:rsid w:val="000B7F4F"/>
    <w:rsid w:val="000C0353"/>
    <w:rsid w:val="000C06CF"/>
    <w:rsid w:val="000C112D"/>
    <w:rsid w:val="000C15D5"/>
    <w:rsid w:val="000C1690"/>
    <w:rsid w:val="000C16A9"/>
    <w:rsid w:val="000C1AE3"/>
    <w:rsid w:val="000C1E02"/>
    <w:rsid w:val="000C22C5"/>
    <w:rsid w:val="000C24D4"/>
    <w:rsid w:val="000C2721"/>
    <w:rsid w:val="000C27A4"/>
    <w:rsid w:val="000C32C4"/>
    <w:rsid w:val="000C3B70"/>
    <w:rsid w:val="000C43C4"/>
    <w:rsid w:val="000C478B"/>
    <w:rsid w:val="000C495A"/>
    <w:rsid w:val="000C4C8F"/>
    <w:rsid w:val="000C5309"/>
    <w:rsid w:val="000C5613"/>
    <w:rsid w:val="000C5735"/>
    <w:rsid w:val="000C5A1A"/>
    <w:rsid w:val="000C5A33"/>
    <w:rsid w:val="000C5C25"/>
    <w:rsid w:val="000C5F71"/>
    <w:rsid w:val="000C610C"/>
    <w:rsid w:val="000C63D1"/>
    <w:rsid w:val="000C6825"/>
    <w:rsid w:val="000C68F4"/>
    <w:rsid w:val="000C6F65"/>
    <w:rsid w:val="000C7547"/>
    <w:rsid w:val="000C77E0"/>
    <w:rsid w:val="000C79FB"/>
    <w:rsid w:val="000C7A0A"/>
    <w:rsid w:val="000C7B8E"/>
    <w:rsid w:val="000C7F46"/>
    <w:rsid w:val="000D006E"/>
    <w:rsid w:val="000D0272"/>
    <w:rsid w:val="000D0533"/>
    <w:rsid w:val="000D0637"/>
    <w:rsid w:val="000D0B7B"/>
    <w:rsid w:val="000D1052"/>
    <w:rsid w:val="000D18A6"/>
    <w:rsid w:val="000D1B18"/>
    <w:rsid w:val="000D1C63"/>
    <w:rsid w:val="000D1E58"/>
    <w:rsid w:val="000D1EA1"/>
    <w:rsid w:val="000D247C"/>
    <w:rsid w:val="000D2A97"/>
    <w:rsid w:val="000D2B0F"/>
    <w:rsid w:val="000D2CD4"/>
    <w:rsid w:val="000D2F9F"/>
    <w:rsid w:val="000D3502"/>
    <w:rsid w:val="000D3664"/>
    <w:rsid w:val="000D36D1"/>
    <w:rsid w:val="000D37B2"/>
    <w:rsid w:val="000D3B0A"/>
    <w:rsid w:val="000D41EE"/>
    <w:rsid w:val="000D49B8"/>
    <w:rsid w:val="000D4BBD"/>
    <w:rsid w:val="000D4FD7"/>
    <w:rsid w:val="000D54F0"/>
    <w:rsid w:val="000D5533"/>
    <w:rsid w:val="000D56B9"/>
    <w:rsid w:val="000D6347"/>
    <w:rsid w:val="000D64F8"/>
    <w:rsid w:val="000D65D8"/>
    <w:rsid w:val="000D672F"/>
    <w:rsid w:val="000D68FA"/>
    <w:rsid w:val="000D6B86"/>
    <w:rsid w:val="000D74DD"/>
    <w:rsid w:val="000D74F0"/>
    <w:rsid w:val="000D7572"/>
    <w:rsid w:val="000E0278"/>
    <w:rsid w:val="000E044E"/>
    <w:rsid w:val="000E0720"/>
    <w:rsid w:val="000E0952"/>
    <w:rsid w:val="000E0B5C"/>
    <w:rsid w:val="000E0E70"/>
    <w:rsid w:val="000E0E96"/>
    <w:rsid w:val="000E1376"/>
    <w:rsid w:val="000E1599"/>
    <w:rsid w:val="000E15C1"/>
    <w:rsid w:val="000E168D"/>
    <w:rsid w:val="000E16D9"/>
    <w:rsid w:val="000E1887"/>
    <w:rsid w:val="000E1A6A"/>
    <w:rsid w:val="000E1E8C"/>
    <w:rsid w:val="000E1FB6"/>
    <w:rsid w:val="000E2853"/>
    <w:rsid w:val="000E291B"/>
    <w:rsid w:val="000E2B83"/>
    <w:rsid w:val="000E2C82"/>
    <w:rsid w:val="000E2FFB"/>
    <w:rsid w:val="000E30A3"/>
    <w:rsid w:val="000E32D7"/>
    <w:rsid w:val="000E32E7"/>
    <w:rsid w:val="000E33DE"/>
    <w:rsid w:val="000E354F"/>
    <w:rsid w:val="000E380A"/>
    <w:rsid w:val="000E38D1"/>
    <w:rsid w:val="000E3CD1"/>
    <w:rsid w:val="000E3D7E"/>
    <w:rsid w:val="000E3F4B"/>
    <w:rsid w:val="000E411D"/>
    <w:rsid w:val="000E4954"/>
    <w:rsid w:val="000E5040"/>
    <w:rsid w:val="000E57E8"/>
    <w:rsid w:val="000E5A9F"/>
    <w:rsid w:val="000E5B8D"/>
    <w:rsid w:val="000E5DB0"/>
    <w:rsid w:val="000E60D4"/>
    <w:rsid w:val="000E6352"/>
    <w:rsid w:val="000E6523"/>
    <w:rsid w:val="000E66B1"/>
    <w:rsid w:val="000E680F"/>
    <w:rsid w:val="000E6D67"/>
    <w:rsid w:val="000E71D9"/>
    <w:rsid w:val="000E7255"/>
    <w:rsid w:val="000E726A"/>
    <w:rsid w:val="000E73A3"/>
    <w:rsid w:val="000E74B4"/>
    <w:rsid w:val="000E79DA"/>
    <w:rsid w:val="000E79E8"/>
    <w:rsid w:val="000E7A72"/>
    <w:rsid w:val="000E7F4A"/>
    <w:rsid w:val="000F009E"/>
    <w:rsid w:val="000F030E"/>
    <w:rsid w:val="000F07C5"/>
    <w:rsid w:val="000F080F"/>
    <w:rsid w:val="000F0A5F"/>
    <w:rsid w:val="000F0C3A"/>
    <w:rsid w:val="000F151C"/>
    <w:rsid w:val="000F19AA"/>
    <w:rsid w:val="000F1A68"/>
    <w:rsid w:val="000F1DBB"/>
    <w:rsid w:val="000F1E60"/>
    <w:rsid w:val="000F1F7F"/>
    <w:rsid w:val="000F2113"/>
    <w:rsid w:val="000F239A"/>
    <w:rsid w:val="000F2449"/>
    <w:rsid w:val="000F306E"/>
    <w:rsid w:val="000F347D"/>
    <w:rsid w:val="000F3597"/>
    <w:rsid w:val="000F3D1C"/>
    <w:rsid w:val="000F3DAA"/>
    <w:rsid w:val="000F3DB7"/>
    <w:rsid w:val="000F3DF4"/>
    <w:rsid w:val="000F4DA9"/>
    <w:rsid w:val="000F4E66"/>
    <w:rsid w:val="000F4F9C"/>
    <w:rsid w:val="000F513A"/>
    <w:rsid w:val="000F53F0"/>
    <w:rsid w:val="000F5F87"/>
    <w:rsid w:val="000F613E"/>
    <w:rsid w:val="000F6FC0"/>
    <w:rsid w:val="000F75E5"/>
    <w:rsid w:val="000F7605"/>
    <w:rsid w:val="000F790D"/>
    <w:rsid w:val="000F7AFC"/>
    <w:rsid w:val="000F7BEC"/>
    <w:rsid w:val="000F7D0C"/>
    <w:rsid w:val="000F7D1E"/>
    <w:rsid w:val="00100275"/>
    <w:rsid w:val="001002C3"/>
    <w:rsid w:val="00100317"/>
    <w:rsid w:val="001003BD"/>
    <w:rsid w:val="001004E2"/>
    <w:rsid w:val="0010057E"/>
    <w:rsid w:val="00100A7F"/>
    <w:rsid w:val="00100ACE"/>
    <w:rsid w:val="00100B23"/>
    <w:rsid w:val="00100C1E"/>
    <w:rsid w:val="00100CAD"/>
    <w:rsid w:val="00100D56"/>
    <w:rsid w:val="00101794"/>
    <w:rsid w:val="00101D80"/>
    <w:rsid w:val="001022E2"/>
    <w:rsid w:val="0010278E"/>
    <w:rsid w:val="00102B60"/>
    <w:rsid w:val="00102DC8"/>
    <w:rsid w:val="0010317C"/>
    <w:rsid w:val="00103525"/>
    <w:rsid w:val="001036A4"/>
    <w:rsid w:val="00103CF7"/>
    <w:rsid w:val="00103EEA"/>
    <w:rsid w:val="00103F9E"/>
    <w:rsid w:val="00104D92"/>
    <w:rsid w:val="00104F59"/>
    <w:rsid w:val="00105295"/>
    <w:rsid w:val="0010530D"/>
    <w:rsid w:val="001055DC"/>
    <w:rsid w:val="0010597C"/>
    <w:rsid w:val="00105BB9"/>
    <w:rsid w:val="00105DB9"/>
    <w:rsid w:val="001066F5"/>
    <w:rsid w:val="00106739"/>
    <w:rsid w:val="00106937"/>
    <w:rsid w:val="00106980"/>
    <w:rsid w:val="001069C9"/>
    <w:rsid w:val="00106D86"/>
    <w:rsid w:val="00106DB2"/>
    <w:rsid w:val="00106E40"/>
    <w:rsid w:val="00107015"/>
    <w:rsid w:val="001072B9"/>
    <w:rsid w:val="0010778D"/>
    <w:rsid w:val="001077B0"/>
    <w:rsid w:val="00107A49"/>
    <w:rsid w:val="00107AAB"/>
    <w:rsid w:val="00107C20"/>
    <w:rsid w:val="0011028E"/>
    <w:rsid w:val="00110722"/>
    <w:rsid w:val="0011073E"/>
    <w:rsid w:val="00110B40"/>
    <w:rsid w:val="00110CB6"/>
    <w:rsid w:val="00110EF8"/>
    <w:rsid w:val="001111BC"/>
    <w:rsid w:val="00111220"/>
    <w:rsid w:val="00111477"/>
    <w:rsid w:val="001114F7"/>
    <w:rsid w:val="00111624"/>
    <w:rsid w:val="001118AC"/>
    <w:rsid w:val="00111BEA"/>
    <w:rsid w:val="00112238"/>
    <w:rsid w:val="00112789"/>
    <w:rsid w:val="00112AE7"/>
    <w:rsid w:val="001135F8"/>
    <w:rsid w:val="0011366E"/>
    <w:rsid w:val="001139AA"/>
    <w:rsid w:val="00113DB4"/>
    <w:rsid w:val="00113DF8"/>
    <w:rsid w:val="00113F00"/>
    <w:rsid w:val="001141A2"/>
    <w:rsid w:val="0011425E"/>
    <w:rsid w:val="0011432D"/>
    <w:rsid w:val="00114FA2"/>
    <w:rsid w:val="0011501A"/>
    <w:rsid w:val="00115259"/>
    <w:rsid w:val="00115345"/>
    <w:rsid w:val="001157B9"/>
    <w:rsid w:val="001157D8"/>
    <w:rsid w:val="0011604D"/>
    <w:rsid w:val="00116120"/>
    <w:rsid w:val="00116136"/>
    <w:rsid w:val="001163E5"/>
    <w:rsid w:val="00116830"/>
    <w:rsid w:val="001169D1"/>
    <w:rsid w:val="00116C90"/>
    <w:rsid w:val="00116DCF"/>
    <w:rsid w:val="00116FAE"/>
    <w:rsid w:val="00117156"/>
    <w:rsid w:val="001178C3"/>
    <w:rsid w:val="00117ADF"/>
    <w:rsid w:val="00117DFE"/>
    <w:rsid w:val="001203E6"/>
    <w:rsid w:val="0012049E"/>
    <w:rsid w:val="001206DC"/>
    <w:rsid w:val="001206F2"/>
    <w:rsid w:val="00120815"/>
    <w:rsid w:val="00120C45"/>
    <w:rsid w:val="00120CF2"/>
    <w:rsid w:val="00120EA7"/>
    <w:rsid w:val="00120F34"/>
    <w:rsid w:val="00121620"/>
    <w:rsid w:val="001217F8"/>
    <w:rsid w:val="00121921"/>
    <w:rsid w:val="00121AEF"/>
    <w:rsid w:val="00121E25"/>
    <w:rsid w:val="001223F9"/>
    <w:rsid w:val="00122F22"/>
    <w:rsid w:val="00123123"/>
    <w:rsid w:val="0012337C"/>
    <w:rsid w:val="00123F70"/>
    <w:rsid w:val="00123FAF"/>
    <w:rsid w:val="00124B60"/>
    <w:rsid w:val="00124C6F"/>
    <w:rsid w:val="00124E41"/>
    <w:rsid w:val="00124E74"/>
    <w:rsid w:val="00125601"/>
    <w:rsid w:val="00125611"/>
    <w:rsid w:val="00125CB3"/>
    <w:rsid w:val="00125DAE"/>
    <w:rsid w:val="00125E83"/>
    <w:rsid w:val="00126080"/>
    <w:rsid w:val="0012671E"/>
    <w:rsid w:val="0012673F"/>
    <w:rsid w:val="001269CA"/>
    <w:rsid w:val="0012729C"/>
    <w:rsid w:val="001275E3"/>
    <w:rsid w:val="00127918"/>
    <w:rsid w:val="00127D5D"/>
    <w:rsid w:val="00127F1B"/>
    <w:rsid w:val="00127F9A"/>
    <w:rsid w:val="00130168"/>
    <w:rsid w:val="00130507"/>
    <w:rsid w:val="0013058B"/>
    <w:rsid w:val="00130B07"/>
    <w:rsid w:val="00131089"/>
    <w:rsid w:val="00131209"/>
    <w:rsid w:val="001315EC"/>
    <w:rsid w:val="00131A55"/>
    <w:rsid w:val="00132034"/>
    <w:rsid w:val="001320CF"/>
    <w:rsid w:val="001324A2"/>
    <w:rsid w:val="00132743"/>
    <w:rsid w:val="0013292D"/>
    <w:rsid w:val="00132F83"/>
    <w:rsid w:val="00133679"/>
    <w:rsid w:val="0013388B"/>
    <w:rsid w:val="001338B0"/>
    <w:rsid w:val="00133914"/>
    <w:rsid w:val="00134115"/>
    <w:rsid w:val="0013425F"/>
    <w:rsid w:val="001343A1"/>
    <w:rsid w:val="00134AC6"/>
    <w:rsid w:val="00135552"/>
    <w:rsid w:val="00135794"/>
    <w:rsid w:val="00135A88"/>
    <w:rsid w:val="00135E71"/>
    <w:rsid w:val="001362F7"/>
    <w:rsid w:val="00136325"/>
    <w:rsid w:val="00136C1E"/>
    <w:rsid w:val="00136EEA"/>
    <w:rsid w:val="001372A4"/>
    <w:rsid w:val="00137430"/>
    <w:rsid w:val="00137A02"/>
    <w:rsid w:val="00137F5A"/>
    <w:rsid w:val="00140079"/>
    <w:rsid w:val="001403F4"/>
    <w:rsid w:val="001407B7"/>
    <w:rsid w:val="00141466"/>
    <w:rsid w:val="001416EA"/>
    <w:rsid w:val="00141B24"/>
    <w:rsid w:val="00141C2C"/>
    <w:rsid w:val="00142057"/>
    <w:rsid w:val="001421A4"/>
    <w:rsid w:val="00142226"/>
    <w:rsid w:val="00142366"/>
    <w:rsid w:val="00142699"/>
    <w:rsid w:val="00142D6B"/>
    <w:rsid w:val="00143011"/>
    <w:rsid w:val="00143349"/>
    <w:rsid w:val="00143686"/>
    <w:rsid w:val="00143697"/>
    <w:rsid w:val="00143858"/>
    <w:rsid w:val="0014398A"/>
    <w:rsid w:val="00143B88"/>
    <w:rsid w:val="0014415C"/>
    <w:rsid w:val="00144798"/>
    <w:rsid w:val="00144AE4"/>
    <w:rsid w:val="00144C38"/>
    <w:rsid w:val="00145C84"/>
    <w:rsid w:val="00145EFF"/>
    <w:rsid w:val="00146075"/>
    <w:rsid w:val="0014661F"/>
    <w:rsid w:val="0014665D"/>
    <w:rsid w:val="00146872"/>
    <w:rsid w:val="00146C14"/>
    <w:rsid w:val="00146C18"/>
    <w:rsid w:val="00146D0E"/>
    <w:rsid w:val="00147248"/>
    <w:rsid w:val="001479A8"/>
    <w:rsid w:val="00147B4D"/>
    <w:rsid w:val="00150903"/>
    <w:rsid w:val="0015099C"/>
    <w:rsid w:val="001511D8"/>
    <w:rsid w:val="00151422"/>
    <w:rsid w:val="001516AF"/>
    <w:rsid w:val="00151829"/>
    <w:rsid w:val="0015187E"/>
    <w:rsid w:val="00151A6D"/>
    <w:rsid w:val="00151E7C"/>
    <w:rsid w:val="00151F07"/>
    <w:rsid w:val="00152091"/>
    <w:rsid w:val="00152226"/>
    <w:rsid w:val="001527F8"/>
    <w:rsid w:val="00152C35"/>
    <w:rsid w:val="0015317A"/>
    <w:rsid w:val="001532AF"/>
    <w:rsid w:val="00153391"/>
    <w:rsid w:val="001536DB"/>
    <w:rsid w:val="001538C4"/>
    <w:rsid w:val="00154016"/>
    <w:rsid w:val="00154936"/>
    <w:rsid w:val="001551EB"/>
    <w:rsid w:val="0015520B"/>
    <w:rsid w:val="0015544B"/>
    <w:rsid w:val="001560D2"/>
    <w:rsid w:val="0015621B"/>
    <w:rsid w:val="0015626C"/>
    <w:rsid w:val="0015640A"/>
    <w:rsid w:val="001564EB"/>
    <w:rsid w:val="00156522"/>
    <w:rsid w:val="0015654A"/>
    <w:rsid w:val="00156A2B"/>
    <w:rsid w:val="00156C55"/>
    <w:rsid w:val="00156D71"/>
    <w:rsid w:val="00157320"/>
    <w:rsid w:val="00157916"/>
    <w:rsid w:val="00157B0E"/>
    <w:rsid w:val="00157B2B"/>
    <w:rsid w:val="00157BBE"/>
    <w:rsid w:val="001606C9"/>
    <w:rsid w:val="00160B80"/>
    <w:rsid w:val="0016129C"/>
    <w:rsid w:val="00161BAC"/>
    <w:rsid w:val="00161D47"/>
    <w:rsid w:val="00162735"/>
    <w:rsid w:val="001629C8"/>
    <w:rsid w:val="00162A26"/>
    <w:rsid w:val="00162CC4"/>
    <w:rsid w:val="0016352C"/>
    <w:rsid w:val="00163670"/>
    <w:rsid w:val="001636E9"/>
    <w:rsid w:val="00163977"/>
    <w:rsid w:val="00163FA1"/>
    <w:rsid w:val="00163FBF"/>
    <w:rsid w:val="0016472E"/>
    <w:rsid w:val="00164775"/>
    <w:rsid w:val="00164BA7"/>
    <w:rsid w:val="00164BD4"/>
    <w:rsid w:val="00164D5B"/>
    <w:rsid w:val="001651F7"/>
    <w:rsid w:val="001652E9"/>
    <w:rsid w:val="0016530E"/>
    <w:rsid w:val="00165629"/>
    <w:rsid w:val="001659C8"/>
    <w:rsid w:val="00165E81"/>
    <w:rsid w:val="00165FB3"/>
    <w:rsid w:val="00166104"/>
    <w:rsid w:val="00166A12"/>
    <w:rsid w:val="00166BCE"/>
    <w:rsid w:val="00166F7F"/>
    <w:rsid w:val="00167269"/>
    <w:rsid w:val="00167293"/>
    <w:rsid w:val="00167464"/>
    <w:rsid w:val="0016757C"/>
    <w:rsid w:val="00167B0D"/>
    <w:rsid w:val="00167C11"/>
    <w:rsid w:val="0017006A"/>
    <w:rsid w:val="001703A0"/>
    <w:rsid w:val="00170574"/>
    <w:rsid w:val="001706F5"/>
    <w:rsid w:val="00170DD8"/>
    <w:rsid w:val="00170E52"/>
    <w:rsid w:val="00170FC0"/>
    <w:rsid w:val="0017121E"/>
    <w:rsid w:val="001722F8"/>
    <w:rsid w:val="00172726"/>
    <w:rsid w:val="001728C2"/>
    <w:rsid w:val="00172ADD"/>
    <w:rsid w:val="00172FAB"/>
    <w:rsid w:val="0017304F"/>
    <w:rsid w:val="00173130"/>
    <w:rsid w:val="0017324E"/>
    <w:rsid w:val="001736BD"/>
    <w:rsid w:val="00173A58"/>
    <w:rsid w:val="00173F6A"/>
    <w:rsid w:val="0017425D"/>
    <w:rsid w:val="0017440E"/>
    <w:rsid w:val="0017441D"/>
    <w:rsid w:val="00174C85"/>
    <w:rsid w:val="00174F81"/>
    <w:rsid w:val="00174FB3"/>
    <w:rsid w:val="001757B4"/>
    <w:rsid w:val="00175C6C"/>
    <w:rsid w:val="00175D61"/>
    <w:rsid w:val="00175DF7"/>
    <w:rsid w:val="001761C3"/>
    <w:rsid w:val="001765B0"/>
    <w:rsid w:val="001765EF"/>
    <w:rsid w:val="00176E58"/>
    <w:rsid w:val="00176F35"/>
    <w:rsid w:val="001774D5"/>
    <w:rsid w:val="00177567"/>
    <w:rsid w:val="00177AB4"/>
    <w:rsid w:val="00177B21"/>
    <w:rsid w:val="00177D72"/>
    <w:rsid w:val="00177DB3"/>
    <w:rsid w:val="00177E35"/>
    <w:rsid w:val="00180275"/>
    <w:rsid w:val="0018057D"/>
    <w:rsid w:val="00180620"/>
    <w:rsid w:val="00180BA5"/>
    <w:rsid w:val="00180FD9"/>
    <w:rsid w:val="001812C1"/>
    <w:rsid w:val="00181AF4"/>
    <w:rsid w:val="001823D3"/>
    <w:rsid w:val="001824A4"/>
    <w:rsid w:val="001824E9"/>
    <w:rsid w:val="00182565"/>
    <w:rsid w:val="00182F78"/>
    <w:rsid w:val="00183188"/>
    <w:rsid w:val="001833D9"/>
    <w:rsid w:val="00183402"/>
    <w:rsid w:val="001834A0"/>
    <w:rsid w:val="001836D4"/>
    <w:rsid w:val="00183DDE"/>
    <w:rsid w:val="00183FBF"/>
    <w:rsid w:val="00184208"/>
    <w:rsid w:val="0018479A"/>
    <w:rsid w:val="00184809"/>
    <w:rsid w:val="00184908"/>
    <w:rsid w:val="00184A4A"/>
    <w:rsid w:val="00184AE9"/>
    <w:rsid w:val="00184B3E"/>
    <w:rsid w:val="00184BBE"/>
    <w:rsid w:val="00184CC8"/>
    <w:rsid w:val="00184ED0"/>
    <w:rsid w:val="001852A4"/>
    <w:rsid w:val="00185A2A"/>
    <w:rsid w:val="00185A8E"/>
    <w:rsid w:val="00186357"/>
    <w:rsid w:val="001866E3"/>
    <w:rsid w:val="00186781"/>
    <w:rsid w:val="00186C0B"/>
    <w:rsid w:val="00186C70"/>
    <w:rsid w:val="00186ECF"/>
    <w:rsid w:val="0018713A"/>
    <w:rsid w:val="0018740C"/>
    <w:rsid w:val="001875A3"/>
    <w:rsid w:val="00187B41"/>
    <w:rsid w:val="001900EB"/>
    <w:rsid w:val="00190395"/>
    <w:rsid w:val="001906CA"/>
    <w:rsid w:val="00190C29"/>
    <w:rsid w:val="00190C73"/>
    <w:rsid w:val="00191034"/>
    <w:rsid w:val="0019120D"/>
    <w:rsid w:val="00191269"/>
    <w:rsid w:val="0019139A"/>
    <w:rsid w:val="001913C5"/>
    <w:rsid w:val="00191971"/>
    <w:rsid w:val="00191C94"/>
    <w:rsid w:val="001922E2"/>
    <w:rsid w:val="001926F2"/>
    <w:rsid w:val="001927C4"/>
    <w:rsid w:val="001927FF"/>
    <w:rsid w:val="00192F74"/>
    <w:rsid w:val="001934F7"/>
    <w:rsid w:val="0019358C"/>
    <w:rsid w:val="0019379B"/>
    <w:rsid w:val="00193B58"/>
    <w:rsid w:val="00193C04"/>
    <w:rsid w:val="00193E5A"/>
    <w:rsid w:val="00193ECB"/>
    <w:rsid w:val="001940CD"/>
    <w:rsid w:val="0019429A"/>
    <w:rsid w:val="00194423"/>
    <w:rsid w:val="00194474"/>
    <w:rsid w:val="0019478C"/>
    <w:rsid w:val="00194AF2"/>
    <w:rsid w:val="00194D80"/>
    <w:rsid w:val="0019519A"/>
    <w:rsid w:val="00195A24"/>
    <w:rsid w:val="00195A5B"/>
    <w:rsid w:val="00195B6A"/>
    <w:rsid w:val="00195C6A"/>
    <w:rsid w:val="00195DBA"/>
    <w:rsid w:val="00195DEC"/>
    <w:rsid w:val="00196032"/>
    <w:rsid w:val="00196224"/>
    <w:rsid w:val="00196400"/>
    <w:rsid w:val="00196492"/>
    <w:rsid w:val="001968C9"/>
    <w:rsid w:val="00196A11"/>
    <w:rsid w:val="001970E6"/>
    <w:rsid w:val="001971D1"/>
    <w:rsid w:val="001975E5"/>
    <w:rsid w:val="00197C1B"/>
    <w:rsid w:val="001A0290"/>
    <w:rsid w:val="001A0B39"/>
    <w:rsid w:val="001A0CB6"/>
    <w:rsid w:val="001A11FB"/>
    <w:rsid w:val="001A14EB"/>
    <w:rsid w:val="001A17CB"/>
    <w:rsid w:val="001A186C"/>
    <w:rsid w:val="001A19FF"/>
    <w:rsid w:val="001A1FFF"/>
    <w:rsid w:val="001A26F7"/>
    <w:rsid w:val="001A29AC"/>
    <w:rsid w:val="001A2B9E"/>
    <w:rsid w:val="001A3079"/>
    <w:rsid w:val="001A3156"/>
    <w:rsid w:val="001A3481"/>
    <w:rsid w:val="001A4128"/>
    <w:rsid w:val="001A420A"/>
    <w:rsid w:val="001A42F5"/>
    <w:rsid w:val="001A436D"/>
    <w:rsid w:val="001A453E"/>
    <w:rsid w:val="001A4550"/>
    <w:rsid w:val="001A4965"/>
    <w:rsid w:val="001A53F0"/>
    <w:rsid w:val="001A540B"/>
    <w:rsid w:val="001A562F"/>
    <w:rsid w:val="001A5AD9"/>
    <w:rsid w:val="001A5DC4"/>
    <w:rsid w:val="001A6007"/>
    <w:rsid w:val="001A603C"/>
    <w:rsid w:val="001A614C"/>
    <w:rsid w:val="001A6281"/>
    <w:rsid w:val="001A6337"/>
    <w:rsid w:val="001A664D"/>
    <w:rsid w:val="001A6688"/>
    <w:rsid w:val="001A75AE"/>
    <w:rsid w:val="001A75BB"/>
    <w:rsid w:val="001A797E"/>
    <w:rsid w:val="001A79C6"/>
    <w:rsid w:val="001A7AB7"/>
    <w:rsid w:val="001A7DA6"/>
    <w:rsid w:val="001B01CB"/>
    <w:rsid w:val="001B044E"/>
    <w:rsid w:val="001B07E5"/>
    <w:rsid w:val="001B082A"/>
    <w:rsid w:val="001B0972"/>
    <w:rsid w:val="001B0AF0"/>
    <w:rsid w:val="001B12C7"/>
    <w:rsid w:val="001B143C"/>
    <w:rsid w:val="001B1538"/>
    <w:rsid w:val="001B1704"/>
    <w:rsid w:val="001B170E"/>
    <w:rsid w:val="001B1746"/>
    <w:rsid w:val="001B1794"/>
    <w:rsid w:val="001B23F0"/>
    <w:rsid w:val="001B24A8"/>
    <w:rsid w:val="001B26B9"/>
    <w:rsid w:val="001B2AD2"/>
    <w:rsid w:val="001B30A7"/>
    <w:rsid w:val="001B3694"/>
    <w:rsid w:val="001B404A"/>
    <w:rsid w:val="001B4499"/>
    <w:rsid w:val="001B4A88"/>
    <w:rsid w:val="001B575F"/>
    <w:rsid w:val="001B6221"/>
    <w:rsid w:val="001B661A"/>
    <w:rsid w:val="001B6BDC"/>
    <w:rsid w:val="001B7150"/>
    <w:rsid w:val="001B776B"/>
    <w:rsid w:val="001B78AB"/>
    <w:rsid w:val="001B7DEC"/>
    <w:rsid w:val="001C001C"/>
    <w:rsid w:val="001C006C"/>
    <w:rsid w:val="001C01DB"/>
    <w:rsid w:val="001C10D4"/>
    <w:rsid w:val="001C1126"/>
    <w:rsid w:val="001C1139"/>
    <w:rsid w:val="001C151C"/>
    <w:rsid w:val="001C190C"/>
    <w:rsid w:val="001C19BB"/>
    <w:rsid w:val="001C1AB6"/>
    <w:rsid w:val="001C2125"/>
    <w:rsid w:val="001C22BE"/>
    <w:rsid w:val="001C2888"/>
    <w:rsid w:val="001C2C3B"/>
    <w:rsid w:val="001C2C81"/>
    <w:rsid w:val="001C3681"/>
    <w:rsid w:val="001C38FD"/>
    <w:rsid w:val="001C4241"/>
    <w:rsid w:val="001C4788"/>
    <w:rsid w:val="001C4EC9"/>
    <w:rsid w:val="001C55A6"/>
    <w:rsid w:val="001C5642"/>
    <w:rsid w:val="001C592B"/>
    <w:rsid w:val="001C5C0F"/>
    <w:rsid w:val="001C5EFF"/>
    <w:rsid w:val="001C6639"/>
    <w:rsid w:val="001C66BB"/>
    <w:rsid w:val="001C6B5C"/>
    <w:rsid w:val="001C6D7B"/>
    <w:rsid w:val="001C70A7"/>
    <w:rsid w:val="001C7128"/>
    <w:rsid w:val="001C7506"/>
    <w:rsid w:val="001C79F8"/>
    <w:rsid w:val="001C7F24"/>
    <w:rsid w:val="001D06CF"/>
    <w:rsid w:val="001D0789"/>
    <w:rsid w:val="001D09E1"/>
    <w:rsid w:val="001D0A8D"/>
    <w:rsid w:val="001D0AC7"/>
    <w:rsid w:val="001D1C3F"/>
    <w:rsid w:val="001D1DFF"/>
    <w:rsid w:val="001D21E0"/>
    <w:rsid w:val="001D27B8"/>
    <w:rsid w:val="001D3143"/>
    <w:rsid w:val="001D35F3"/>
    <w:rsid w:val="001D4087"/>
    <w:rsid w:val="001D4245"/>
    <w:rsid w:val="001D4BAC"/>
    <w:rsid w:val="001D4D6D"/>
    <w:rsid w:val="001D4DB2"/>
    <w:rsid w:val="001D51C0"/>
    <w:rsid w:val="001D538A"/>
    <w:rsid w:val="001D53B3"/>
    <w:rsid w:val="001D5568"/>
    <w:rsid w:val="001D5CDF"/>
    <w:rsid w:val="001D5DDD"/>
    <w:rsid w:val="001D5E25"/>
    <w:rsid w:val="001D62C0"/>
    <w:rsid w:val="001D64AF"/>
    <w:rsid w:val="001D65D6"/>
    <w:rsid w:val="001D6628"/>
    <w:rsid w:val="001D694A"/>
    <w:rsid w:val="001D69D2"/>
    <w:rsid w:val="001D6DFE"/>
    <w:rsid w:val="001D6F95"/>
    <w:rsid w:val="001D70C8"/>
    <w:rsid w:val="001D711E"/>
    <w:rsid w:val="001E0126"/>
    <w:rsid w:val="001E0170"/>
    <w:rsid w:val="001E0819"/>
    <w:rsid w:val="001E0A08"/>
    <w:rsid w:val="001E0C83"/>
    <w:rsid w:val="001E0EB0"/>
    <w:rsid w:val="001E1028"/>
    <w:rsid w:val="001E116B"/>
    <w:rsid w:val="001E1388"/>
    <w:rsid w:val="001E1537"/>
    <w:rsid w:val="001E214E"/>
    <w:rsid w:val="001E2398"/>
    <w:rsid w:val="001E2832"/>
    <w:rsid w:val="001E2D65"/>
    <w:rsid w:val="001E3911"/>
    <w:rsid w:val="001E3ED6"/>
    <w:rsid w:val="001E3FEF"/>
    <w:rsid w:val="001E41A1"/>
    <w:rsid w:val="001E471B"/>
    <w:rsid w:val="001E4846"/>
    <w:rsid w:val="001E496B"/>
    <w:rsid w:val="001E4D19"/>
    <w:rsid w:val="001E4E77"/>
    <w:rsid w:val="001E58DF"/>
    <w:rsid w:val="001E5A2B"/>
    <w:rsid w:val="001E744C"/>
    <w:rsid w:val="001E76FC"/>
    <w:rsid w:val="001E771E"/>
    <w:rsid w:val="001E7902"/>
    <w:rsid w:val="001E7C28"/>
    <w:rsid w:val="001E7EC2"/>
    <w:rsid w:val="001E7F71"/>
    <w:rsid w:val="001F020F"/>
    <w:rsid w:val="001F02A2"/>
    <w:rsid w:val="001F0306"/>
    <w:rsid w:val="001F04C7"/>
    <w:rsid w:val="001F0771"/>
    <w:rsid w:val="001F0A16"/>
    <w:rsid w:val="001F0C2E"/>
    <w:rsid w:val="001F1329"/>
    <w:rsid w:val="001F1A9D"/>
    <w:rsid w:val="001F1CC4"/>
    <w:rsid w:val="001F1D7D"/>
    <w:rsid w:val="001F1F6A"/>
    <w:rsid w:val="001F223E"/>
    <w:rsid w:val="001F228E"/>
    <w:rsid w:val="001F24F7"/>
    <w:rsid w:val="001F2933"/>
    <w:rsid w:val="001F351B"/>
    <w:rsid w:val="001F37A7"/>
    <w:rsid w:val="001F3990"/>
    <w:rsid w:val="001F3ADF"/>
    <w:rsid w:val="001F3B46"/>
    <w:rsid w:val="001F3F75"/>
    <w:rsid w:val="001F45D8"/>
    <w:rsid w:val="001F47F9"/>
    <w:rsid w:val="001F491D"/>
    <w:rsid w:val="001F4E96"/>
    <w:rsid w:val="001F50FF"/>
    <w:rsid w:val="001F5AC7"/>
    <w:rsid w:val="001F61CB"/>
    <w:rsid w:val="001F6ACD"/>
    <w:rsid w:val="001F784B"/>
    <w:rsid w:val="001F7A33"/>
    <w:rsid w:val="001F7FCD"/>
    <w:rsid w:val="002002B8"/>
    <w:rsid w:val="002004D7"/>
    <w:rsid w:val="0020098E"/>
    <w:rsid w:val="00200F97"/>
    <w:rsid w:val="002015D0"/>
    <w:rsid w:val="00201809"/>
    <w:rsid w:val="00201A8C"/>
    <w:rsid w:val="00201FAB"/>
    <w:rsid w:val="00201FD9"/>
    <w:rsid w:val="0020249B"/>
    <w:rsid w:val="00202F28"/>
    <w:rsid w:val="00203193"/>
    <w:rsid w:val="00203873"/>
    <w:rsid w:val="00203FEE"/>
    <w:rsid w:val="0020402F"/>
    <w:rsid w:val="002040E7"/>
    <w:rsid w:val="002041C7"/>
    <w:rsid w:val="0020420C"/>
    <w:rsid w:val="0020440C"/>
    <w:rsid w:val="00204676"/>
    <w:rsid w:val="002046CB"/>
    <w:rsid w:val="002049BB"/>
    <w:rsid w:val="002049BE"/>
    <w:rsid w:val="00204B7E"/>
    <w:rsid w:val="00204BF3"/>
    <w:rsid w:val="00204DF6"/>
    <w:rsid w:val="002050CC"/>
    <w:rsid w:val="00205AFF"/>
    <w:rsid w:val="00205BD0"/>
    <w:rsid w:val="00205E5C"/>
    <w:rsid w:val="00206677"/>
    <w:rsid w:val="0020673E"/>
    <w:rsid w:val="0020688F"/>
    <w:rsid w:val="002068BC"/>
    <w:rsid w:val="00206A23"/>
    <w:rsid w:val="00206CD5"/>
    <w:rsid w:val="00206D59"/>
    <w:rsid w:val="00206FE5"/>
    <w:rsid w:val="00207A55"/>
    <w:rsid w:val="00207C8E"/>
    <w:rsid w:val="00207E07"/>
    <w:rsid w:val="0021019C"/>
    <w:rsid w:val="0021042C"/>
    <w:rsid w:val="002111F8"/>
    <w:rsid w:val="0021153A"/>
    <w:rsid w:val="0021201A"/>
    <w:rsid w:val="0021207E"/>
    <w:rsid w:val="0021218E"/>
    <w:rsid w:val="002127DE"/>
    <w:rsid w:val="0021282A"/>
    <w:rsid w:val="002129E1"/>
    <w:rsid w:val="00212EF1"/>
    <w:rsid w:val="00213092"/>
    <w:rsid w:val="00213649"/>
    <w:rsid w:val="00213C4C"/>
    <w:rsid w:val="002149CC"/>
    <w:rsid w:val="00214DAB"/>
    <w:rsid w:val="00214E36"/>
    <w:rsid w:val="0021534B"/>
    <w:rsid w:val="002155B8"/>
    <w:rsid w:val="0021564C"/>
    <w:rsid w:val="00215718"/>
    <w:rsid w:val="0021576E"/>
    <w:rsid w:val="0021583D"/>
    <w:rsid w:val="00215CCA"/>
    <w:rsid w:val="002166E0"/>
    <w:rsid w:val="0021697D"/>
    <w:rsid w:val="00216DFE"/>
    <w:rsid w:val="0021719B"/>
    <w:rsid w:val="002173C2"/>
    <w:rsid w:val="00217411"/>
    <w:rsid w:val="00217463"/>
    <w:rsid w:val="00217D04"/>
    <w:rsid w:val="00220241"/>
    <w:rsid w:val="0022046C"/>
    <w:rsid w:val="002208C8"/>
    <w:rsid w:val="0022098A"/>
    <w:rsid w:val="00220BD6"/>
    <w:rsid w:val="00220D08"/>
    <w:rsid w:val="00220DB3"/>
    <w:rsid w:val="00221469"/>
    <w:rsid w:val="0022167D"/>
    <w:rsid w:val="0022181C"/>
    <w:rsid w:val="00221B9D"/>
    <w:rsid w:val="002221C1"/>
    <w:rsid w:val="00222723"/>
    <w:rsid w:val="0022282D"/>
    <w:rsid w:val="00222E81"/>
    <w:rsid w:val="00222FC0"/>
    <w:rsid w:val="002232B1"/>
    <w:rsid w:val="00223364"/>
    <w:rsid w:val="0022338F"/>
    <w:rsid w:val="00223504"/>
    <w:rsid w:val="00223786"/>
    <w:rsid w:val="00223C70"/>
    <w:rsid w:val="00223D11"/>
    <w:rsid w:val="00223D93"/>
    <w:rsid w:val="00224031"/>
    <w:rsid w:val="00224211"/>
    <w:rsid w:val="002245AA"/>
    <w:rsid w:val="002249D2"/>
    <w:rsid w:val="00224FFC"/>
    <w:rsid w:val="0022510B"/>
    <w:rsid w:val="002251F3"/>
    <w:rsid w:val="00225815"/>
    <w:rsid w:val="00225A5B"/>
    <w:rsid w:val="00225E7D"/>
    <w:rsid w:val="00225FB2"/>
    <w:rsid w:val="00226126"/>
    <w:rsid w:val="0022616F"/>
    <w:rsid w:val="00226477"/>
    <w:rsid w:val="002264B3"/>
    <w:rsid w:val="00226E26"/>
    <w:rsid w:val="00226FD0"/>
    <w:rsid w:val="0022705F"/>
    <w:rsid w:val="00227617"/>
    <w:rsid w:val="00227E4E"/>
    <w:rsid w:val="00227E92"/>
    <w:rsid w:val="0023021E"/>
    <w:rsid w:val="00230AAC"/>
    <w:rsid w:val="0023160A"/>
    <w:rsid w:val="002317E8"/>
    <w:rsid w:val="00231BD7"/>
    <w:rsid w:val="00232667"/>
    <w:rsid w:val="00232912"/>
    <w:rsid w:val="00232F22"/>
    <w:rsid w:val="002330ED"/>
    <w:rsid w:val="00233205"/>
    <w:rsid w:val="002333A2"/>
    <w:rsid w:val="002333CD"/>
    <w:rsid w:val="00233506"/>
    <w:rsid w:val="00233594"/>
    <w:rsid w:val="002338A9"/>
    <w:rsid w:val="00233A2C"/>
    <w:rsid w:val="002340E8"/>
    <w:rsid w:val="002341A6"/>
    <w:rsid w:val="002344D5"/>
    <w:rsid w:val="00234525"/>
    <w:rsid w:val="002348AF"/>
    <w:rsid w:val="002348E8"/>
    <w:rsid w:val="0023499B"/>
    <w:rsid w:val="00234AF1"/>
    <w:rsid w:val="00234DDE"/>
    <w:rsid w:val="00235087"/>
    <w:rsid w:val="0023511E"/>
    <w:rsid w:val="00235501"/>
    <w:rsid w:val="00235B3A"/>
    <w:rsid w:val="00235C56"/>
    <w:rsid w:val="00235CD8"/>
    <w:rsid w:val="00236C67"/>
    <w:rsid w:val="00236EBA"/>
    <w:rsid w:val="0023701C"/>
    <w:rsid w:val="00237042"/>
    <w:rsid w:val="00237286"/>
    <w:rsid w:val="002372AA"/>
    <w:rsid w:val="0023788F"/>
    <w:rsid w:val="00237C00"/>
    <w:rsid w:val="00237CF1"/>
    <w:rsid w:val="00240120"/>
    <w:rsid w:val="0024053D"/>
    <w:rsid w:val="00240858"/>
    <w:rsid w:val="00240F18"/>
    <w:rsid w:val="0024158B"/>
    <w:rsid w:val="00241C85"/>
    <w:rsid w:val="00242525"/>
    <w:rsid w:val="00242ADD"/>
    <w:rsid w:val="00243360"/>
    <w:rsid w:val="002438B5"/>
    <w:rsid w:val="00243AE3"/>
    <w:rsid w:val="00244478"/>
    <w:rsid w:val="002444B8"/>
    <w:rsid w:val="00244C87"/>
    <w:rsid w:val="00244DFD"/>
    <w:rsid w:val="00244F52"/>
    <w:rsid w:val="0024500D"/>
    <w:rsid w:val="002453D7"/>
    <w:rsid w:val="002456AB"/>
    <w:rsid w:val="00245957"/>
    <w:rsid w:val="00245999"/>
    <w:rsid w:val="00246CE7"/>
    <w:rsid w:val="00246F15"/>
    <w:rsid w:val="00247007"/>
    <w:rsid w:val="0024701B"/>
    <w:rsid w:val="002474F1"/>
    <w:rsid w:val="0024796E"/>
    <w:rsid w:val="00247AC7"/>
    <w:rsid w:val="002502AE"/>
    <w:rsid w:val="00250CD0"/>
    <w:rsid w:val="00250D4A"/>
    <w:rsid w:val="00250F4B"/>
    <w:rsid w:val="00250F61"/>
    <w:rsid w:val="002512FE"/>
    <w:rsid w:val="00251497"/>
    <w:rsid w:val="0025239D"/>
    <w:rsid w:val="002528D6"/>
    <w:rsid w:val="0025299A"/>
    <w:rsid w:val="00253028"/>
    <w:rsid w:val="002533E6"/>
    <w:rsid w:val="00253642"/>
    <w:rsid w:val="00253CA1"/>
    <w:rsid w:val="00253CDE"/>
    <w:rsid w:val="00254075"/>
    <w:rsid w:val="00254567"/>
    <w:rsid w:val="002546B0"/>
    <w:rsid w:val="002549A8"/>
    <w:rsid w:val="00254B99"/>
    <w:rsid w:val="0025508E"/>
    <w:rsid w:val="0025521C"/>
    <w:rsid w:val="0025559C"/>
    <w:rsid w:val="0025584F"/>
    <w:rsid w:val="00255CDC"/>
    <w:rsid w:val="00255D04"/>
    <w:rsid w:val="002568E5"/>
    <w:rsid w:val="002569D6"/>
    <w:rsid w:val="00256DE1"/>
    <w:rsid w:val="00256FD8"/>
    <w:rsid w:val="00257238"/>
    <w:rsid w:val="00257A86"/>
    <w:rsid w:val="00257C9C"/>
    <w:rsid w:val="00257F75"/>
    <w:rsid w:val="002600B5"/>
    <w:rsid w:val="0026017C"/>
    <w:rsid w:val="00260205"/>
    <w:rsid w:val="00260278"/>
    <w:rsid w:val="0026038F"/>
    <w:rsid w:val="00260673"/>
    <w:rsid w:val="00260747"/>
    <w:rsid w:val="002609FB"/>
    <w:rsid w:val="00260F47"/>
    <w:rsid w:val="00261001"/>
    <w:rsid w:val="00261175"/>
    <w:rsid w:val="00261322"/>
    <w:rsid w:val="00261502"/>
    <w:rsid w:val="00261AB5"/>
    <w:rsid w:val="00261AE6"/>
    <w:rsid w:val="00261D75"/>
    <w:rsid w:val="00262253"/>
    <w:rsid w:val="002622D0"/>
    <w:rsid w:val="0026310A"/>
    <w:rsid w:val="00263169"/>
    <w:rsid w:val="00263218"/>
    <w:rsid w:val="00263409"/>
    <w:rsid w:val="002637BD"/>
    <w:rsid w:val="00263A8A"/>
    <w:rsid w:val="00263F98"/>
    <w:rsid w:val="002642D3"/>
    <w:rsid w:val="002645A3"/>
    <w:rsid w:val="002646B8"/>
    <w:rsid w:val="00264769"/>
    <w:rsid w:val="00264922"/>
    <w:rsid w:val="00264E14"/>
    <w:rsid w:val="00264F30"/>
    <w:rsid w:val="00264F4D"/>
    <w:rsid w:val="00264FD1"/>
    <w:rsid w:val="00265094"/>
    <w:rsid w:val="0026518E"/>
    <w:rsid w:val="00265CB8"/>
    <w:rsid w:val="00266976"/>
    <w:rsid w:val="00266CAE"/>
    <w:rsid w:val="00267170"/>
    <w:rsid w:val="00267275"/>
    <w:rsid w:val="00267306"/>
    <w:rsid w:val="002674A6"/>
    <w:rsid w:val="00267B3A"/>
    <w:rsid w:val="00267BE3"/>
    <w:rsid w:val="00267D86"/>
    <w:rsid w:val="00270585"/>
    <w:rsid w:val="00271283"/>
    <w:rsid w:val="00271450"/>
    <w:rsid w:val="00271D81"/>
    <w:rsid w:val="00272378"/>
    <w:rsid w:val="00272963"/>
    <w:rsid w:val="00272B14"/>
    <w:rsid w:val="00272B88"/>
    <w:rsid w:val="00272D47"/>
    <w:rsid w:val="00272FC0"/>
    <w:rsid w:val="002733EB"/>
    <w:rsid w:val="002734C6"/>
    <w:rsid w:val="002735D7"/>
    <w:rsid w:val="00273CB2"/>
    <w:rsid w:val="00274798"/>
    <w:rsid w:val="002747B6"/>
    <w:rsid w:val="00274B23"/>
    <w:rsid w:val="00274FAF"/>
    <w:rsid w:val="002754CF"/>
    <w:rsid w:val="0027618F"/>
    <w:rsid w:val="0027632C"/>
    <w:rsid w:val="002764EF"/>
    <w:rsid w:val="002769C6"/>
    <w:rsid w:val="00277216"/>
    <w:rsid w:val="00277583"/>
    <w:rsid w:val="00277AA8"/>
    <w:rsid w:val="002801FA"/>
    <w:rsid w:val="0028047C"/>
    <w:rsid w:val="00280802"/>
    <w:rsid w:val="00280A70"/>
    <w:rsid w:val="00280DC6"/>
    <w:rsid w:val="002811AE"/>
    <w:rsid w:val="0028142C"/>
    <w:rsid w:val="00281476"/>
    <w:rsid w:val="00281EA9"/>
    <w:rsid w:val="00281FDE"/>
    <w:rsid w:val="00282F4A"/>
    <w:rsid w:val="0028302F"/>
    <w:rsid w:val="002833AF"/>
    <w:rsid w:val="002834EA"/>
    <w:rsid w:val="00283632"/>
    <w:rsid w:val="002838BC"/>
    <w:rsid w:val="00283B3E"/>
    <w:rsid w:val="00283B5F"/>
    <w:rsid w:val="00284271"/>
    <w:rsid w:val="002845EF"/>
    <w:rsid w:val="00284959"/>
    <w:rsid w:val="00284D9D"/>
    <w:rsid w:val="00284DFB"/>
    <w:rsid w:val="00284E86"/>
    <w:rsid w:val="00284F89"/>
    <w:rsid w:val="00284FD2"/>
    <w:rsid w:val="00285215"/>
    <w:rsid w:val="00285404"/>
    <w:rsid w:val="002855F5"/>
    <w:rsid w:val="002856E9"/>
    <w:rsid w:val="00285C36"/>
    <w:rsid w:val="00285F9F"/>
    <w:rsid w:val="00286781"/>
    <w:rsid w:val="00286D9D"/>
    <w:rsid w:val="0028723C"/>
    <w:rsid w:val="002876DB"/>
    <w:rsid w:val="002879C6"/>
    <w:rsid w:val="00287F30"/>
    <w:rsid w:val="002902B4"/>
    <w:rsid w:val="0029034D"/>
    <w:rsid w:val="0029052E"/>
    <w:rsid w:val="00291420"/>
    <w:rsid w:val="00291566"/>
    <w:rsid w:val="0029181C"/>
    <w:rsid w:val="00291C71"/>
    <w:rsid w:val="002920B0"/>
    <w:rsid w:val="00292144"/>
    <w:rsid w:val="00292296"/>
    <w:rsid w:val="002925B9"/>
    <w:rsid w:val="00292727"/>
    <w:rsid w:val="002928B2"/>
    <w:rsid w:val="0029291C"/>
    <w:rsid w:val="00292A14"/>
    <w:rsid w:val="00292A2D"/>
    <w:rsid w:val="00292BD1"/>
    <w:rsid w:val="00292E7E"/>
    <w:rsid w:val="00293202"/>
    <w:rsid w:val="00293B6B"/>
    <w:rsid w:val="00293F79"/>
    <w:rsid w:val="00294467"/>
    <w:rsid w:val="00294566"/>
    <w:rsid w:val="00294834"/>
    <w:rsid w:val="00295BCF"/>
    <w:rsid w:val="00295CC5"/>
    <w:rsid w:val="002960CE"/>
    <w:rsid w:val="00296F29"/>
    <w:rsid w:val="002A02D1"/>
    <w:rsid w:val="002A03ED"/>
    <w:rsid w:val="002A069F"/>
    <w:rsid w:val="002A07F7"/>
    <w:rsid w:val="002A0886"/>
    <w:rsid w:val="002A0BCC"/>
    <w:rsid w:val="002A0CED"/>
    <w:rsid w:val="002A0F4D"/>
    <w:rsid w:val="002A117E"/>
    <w:rsid w:val="002A1C24"/>
    <w:rsid w:val="002A2125"/>
    <w:rsid w:val="002A21EC"/>
    <w:rsid w:val="002A2232"/>
    <w:rsid w:val="002A24D2"/>
    <w:rsid w:val="002A306C"/>
    <w:rsid w:val="002A370B"/>
    <w:rsid w:val="002A3B72"/>
    <w:rsid w:val="002A3E87"/>
    <w:rsid w:val="002A404C"/>
    <w:rsid w:val="002A40AE"/>
    <w:rsid w:val="002A47FE"/>
    <w:rsid w:val="002A496D"/>
    <w:rsid w:val="002A4B6D"/>
    <w:rsid w:val="002A4ED2"/>
    <w:rsid w:val="002A51A1"/>
    <w:rsid w:val="002A52D4"/>
    <w:rsid w:val="002A5485"/>
    <w:rsid w:val="002A5869"/>
    <w:rsid w:val="002A590D"/>
    <w:rsid w:val="002A5922"/>
    <w:rsid w:val="002A5B9C"/>
    <w:rsid w:val="002A61A5"/>
    <w:rsid w:val="002A6AB5"/>
    <w:rsid w:val="002A6CCF"/>
    <w:rsid w:val="002A6EEB"/>
    <w:rsid w:val="002A70DF"/>
    <w:rsid w:val="002A7155"/>
    <w:rsid w:val="002A754F"/>
    <w:rsid w:val="002A75B0"/>
    <w:rsid w:val="002A76A3"/>
    <w:rsid w:val="002A7D20"/>
    <w:rsid w:val="002A7D29"/>
    <w:rsid w:val="002B02CD"/>
    <w:rsid w:val="002B05E7"/>
    <w:rsid w:val="002B065E"/>
    <w:rsid w:val="002B08B1"/>
    <w:rsid w:val="002B08BF"/>
    <w:rsid w:val="002B0BC1"/>
    <w:rsid w:val="002B1255"/>
    <w:rsid w:val="002B1435"/>
    <w:rsid w:val="002B1811"/>
    <w:rsid w:val="002B1920"/>
    <w:rsid w:val="002B1B35"/>
    <w:rsid w:val="002B1F72"/>
    <w:rsid w:val="002B1F80"/>
    <w:rsid w:val="002B2160"/>
    <w:rsid w:val="002B2479"/>
    <w:rsid w:val="002B307C"/>
    <w:rsid w:val="002B31D1"/>
    <w:rsid w:val="002B32E3"/>
    <w:rsid w:val="002B37DC"/>
    <w:rsid w:val="002B40C2"/>
    <w:rsid w:val="002B4A59"/>
    <w:rsid w:val="002B4B40"/>
    <w:rsid w:val="002B4B7F"/>
    <w:rsid w:val="002B4E98"/>
    <w:rsid w:val="002B4F16"/>
    <w:rsid w:val="002B579B"/>
    <w:rsid w:val="002B5D34"/>
    <w:rsid w:val="002B5F65"/>
    <w:rsid w:val="002B6369"/>
    <w:rsid w:val="002B642D"/>
    <w:rsid w:val="002B6751"/>
    <w:rsid w:val="002B6982"/>
    <w:rsid w:val="002B6A73"/>
    <w:rsid w:val="002B6C3A"/>
    <w:rsid w:val="002B6C5D"/>
    <w:rsid w:val="002B6DB4"/>
    <w:rsid w:val="002B6E56"/>
    <w:rsid w:val="002B77B6"/>
    <w:rsid w:val="002B78F7"/>
    <w:rsid w:val="002B795C"/>
    <w:rsid w:val="002B7B78"/>
    <w:rsid w:val="002B7F13"/>
    <w:rsid w:val="002C0099"/>
    <w:rsid w:val="002C024E"/>
    <w:rsid w:val="002C02F9"/>
    <w:rsid w:val="002C035E"/>
    <w:rsid w:val="002C0A3D"/>
    <w:rsid w:val="002C0A4F"/>
    <w:rsid w:val="002C14A3"/>
    <w:rsid w:val="002C1878"/>
    <w:rsid w:val="002C1CCE"/>
    <w:rsid w:val="002C1CD9"/>
    <w:rsid w:val="002C1EF5"/>
    <w:rsid w:val="002C23BF"/>
    <w:rsid w:val="002C25D5"/>
    <w:rsid w:val="002C2972"/>
    <w:rsid w:val="002C2A1B"/>
    <w:rsid w:val="002C2AE2"/>
    <w:rsid w:val="002C3051"/>
    <w:rsid w:val="002C3144"/>
    <w:rsid w:val="002C3176"/>
    <w:rsid w:val="002C3507"/>
    <w:rsid w:val="002C3D11"/>
    <w:rsid w:val="002C3EEB"/>
    <w:rsid w:val="002C424D"/>
    <w:rsid w:val="002C4657"/>
    <w:rsid w:val="002C4CE1"/>
    <w:rsid w:val="002C5090"/>
    <w:rsid w:val="002C5097"/>
    <w:rsid w:val="002C5371"/>
    <w:rsid w:val="002C5B61"/>
    <w:rsid w:val="002C5C97"/>
    <w:rsid w:val="002C5CEA"/>
    <w:rsid w:val="002C6217"/>
    <w:rsid w:val="002C6525"/>
    <w:rsid w:val="002C683C"/>
    <w:rsid w:val="002C68A7"/>
    <w:rsid w:val="002C69AF"/>
    <w:rsid w:val="002C6ACD"/>
    <w:rsid w:val="002C6CEB"/>
    <w:rsid w:val="002C6EE1"/>
    <w:rsid w:val="002C7DD8"/>
    <w:rsid w:val="002C7DE0"/>
    <w:rsid w:val="002D0A70"/>
    <w:rsid w:val="002D14D7"/>
    <w:rsid w:val="002D1B2B"/>
    <w:rsid w:val="002D1C15"/>
    <w:rsid w:val="002D1F96"/>
    <w:rsid w:val="002D2AC6"/>
    <w:rsid w:val="002D33B6"/>
    <w:rsid w:val="002D3441"/>
    <w:rsid w:val="002D3465"/>
    <w:rsid w:val="002D354B"/>
    <w:rsid w:val="002D3BE9"/>
    <w:rsid w:val="002D3DE0"/>
    <w:rsid w:val="002D3EA5"/>
    <w:rsid w:val="002D4195"/>
    <w:rsid w:val="002D4264"/>
    <w:rsid w:val="002D4373"/>
    <w:rsid w:val="002D45BF"/>
    <w:rsid w:val="002D4F6C"/>
    <w:rsid w:val="002D5793"/>
    <w:rsid w:val="002D5ED0"/>
    <w:rsid w:val="002D6419"/>
    <w:rsid w:val="002D65F5"/>
    <w:rsid w:val="002D6BA8"/>
    <w:rsid w:val="002D6D1A"/>
    <w:rsid w:val="002D6D3D"/>
    <w:rsid w:val="002D6F15"/>
    <w:rsid w:val="002D6FFA"/>
    <w:rsid w:val="002D7638"/>
    <w:rsid w:val="002D76EB"/>
    <w:rsid w:val="002D7991"/>
    <w:rsid w:val="002D7BD0"/>
    <w:rsid w:val="002D7C00"/>
    <w:rsid w:val="002D7EA3"/>
    <w:rsid w:val="002E0075"/>
    <w:rsid w:val="002E00EB"/>
    <w:rsid w:val="002E0BC6"/>
    <w:rsid w:val="002E0E98"/>
    <w:rsid w:val="002E172A"/>
    <w:rsid w:val="002E237A"/>
    <w:rsid w:val="002E2A43"/>
    <w:rsid w:val="002E2A9A"/>
    <w:rsid w:val="002E2CA1"/>
    <w:rsid w:val="002E2D63"/>
    <w:rsid w:val="002E3174"/>
    <w:rsid w:val="002E34AC"/>
    <w:rsid w:val="002E3719"/>
    <w:rsid w:val="002E392E"/>
    <w:rsid w:val="002E3ED0"/>
    <w:rsid w:val="002E40B1"/>
    <w:rsid w:val="002E43CC"/>
    <w:rsid w:val="002E4423"/>
    <w:rsid w:val="002E494A"/>
    <w:rsid w:val="002E4EDC"/>
    <w:rsid w:val="002E4F66"/>
    <w:rsid w:val="002E52EE"/>
    <w:rsid w:val="002E5E96"/>
    <w:rsid w:val="002E6009"/>
    <w:rsid w:val="002E61ED"/>
    <w:rsid w:val="002E65DB"/>
    <w:rsid w:val="002E661D"/>
    <w:rsid w:val="002E6780"/>
    <w:rsid w:val="002E6878"/>
    <w:rsid w:val="002E6A3E"/>
    <w:rsid w:val="002E6B6C"/>
    <w:rsid w:val="002E6D5E"/>
    <w:rsid w:val="002E6DDF"/>
    <w:rsid w:val="002E7261"/>
    <w:rsid w:val="002E7504"/>
    <w:rsid w:val="002E781C"/>
    <w:rsid w:val="002E798F"/>
    <w:rsid w:val="002E7E12"/>
    <w:rsid w:val="002E7E8A"/>
    <w:rsid w:val="002F001A"/>
    <w:rsid w:val="002F019F"/>
    <w:rsid w:val="002F022D"/>
    <w:rsid w:val="002F026D"/>
    <w:rsid w:val="002F0824"/>
    <w:rsid w:val="002F0932"/>
    <w:rsid w:val="002F0C7D"/>
    <w:rsid w:val="002F1008"/>
    <w:rsid w:val="002F10F5"/>
    <w:rsid w:val="002F1753"/>
    <w:rsid w:val="002F1C2D"/>
    <w:rsid w:val="002F1F46"/>
    <w:rsid w:val="002F281A"/>
    <w:rsid w:val="002F2923"/>
    <w:rsid w:val="002F2AFA"/>
    <w:rsid w:val="002F2B7F"/>
    <w:rsid w:val="002F2E20"/>
    <w:rsid w:val="002F30CB"/>
    <w:rsid w:val="002F3833"/>
    <w:rsid w:val="002F3D16"/>
    <w:rsid w:val="002F3E68"/>
    <w:rsid w:val="002F43AC"/>
    <w:rsid w:val="002F447C"/>
    <w:rsid w:val="002F4566"/>
    <w:rsid w:val="002F469D"/>
    <w:rsid w:val="002F4995"/>
    <w:rsid w:val="002F4BB5"/>
    <w:rsid w:val="002F4E6C"/>
    <w:rsid w:val="002F50F9"/>
    <w:rsid w:val="002F5596"/>
    <w:rsid w:val="002F5CFE"/>
    <w:rsid w:val="002F610B"/>
    <w:rsid w:val="002F6324"/>
    <w:rsid w:val="002F656F"/>
    <w:rsid w:val="002F6637"/>
    <w:rsid w:val="002F6682"/>
    <w:rsid w:val="002F670D"/>
    <w:rsid w:val="002F68EB"/>
    <w:rsid w:val="002F6970"/>
    <w:rsid w:val="002F6A02"/>
    <w:rsid w:val="002F6DD2"/>
    <w:rsid w:val="002F7196"/>
    <w:rsid w:val="002F74B0"/>
    <w:rsid w:val="002F7694"/>
    <w:rsid w:val="002F7C1C"/>
    <w:rsid w:val="002F7ED3"/>
    <w:rsid w:val="00300388"/>
    <w:rsid w:val="00300692"/>
    <w:rsid w:val="0030072C"/>
    <w:rsid w:val="003007CC"/>
    <w:rsid w:val="00300DD4"/>
    <w:rsid w:val="00300E14"/>
    <w:rsid w:val="00301197"/>
    <w:rsid w:val="00301580"/>
    <w:rsid w:val="00301F39"/>
    <w:rsid w:val="00302C34"/>
    <w:rsid w:val="0030307A"/>
    <w:rsid w:val="00303297"/>
    <w:rsid w:val="003035B8"/>
    <w:rsid w:val="00303621"/>
    <w:rsid w:val="003036FB"/>
    <w:rsid w:val="00303751"/>
    <w:rsid w:val="00303908"/>
    <w:rsid w:val="0030393C"/>
    <w:rsid w:val="00303D2E"/>
    <w:rsid w:val="00303E1D"/>
    <w:rsid w:val="00303EF5"/>
    <w:rsid w:val="00303F6B"/>
    <w:rsid w:val="00304AA8"/>
    <w:rsid w:val="00304B79"/>
    <w:rsid w:val="00304CAE"/>
    <w:rsid w:val="003050CE"/>
    <w:rsid w:val="00305139"/>
    <w:rsid w:val="00305396"/>
    <w:rsid w:val="00305526"/>
    <w:rsid w:val="003056B5"/>
    <w:rsid w:val="00305DE8"/>
    <w:rsid w:val="003060D4"/>
    <w:rsid w:val="00306393"/>
    <w:rsid w:val="003069F8"/>
    <w:rsid w:val="00307072"/>
    <w:rsid w:val="003070CC"/>
    <w:rsid w:val="00307326"/>
    <w:rsid w:val="0030769C"/>
    <w:rsid w:val="00307D1E"/>
    <w:rsid w:val="00307F2B"/>
    <w:rsid w:val="003101F6"/>
    <w:rsid w:val="0031029F"/>
    <w:rsid w:val="0031072E"/>
    <w:rsid w:val="003107F6"/>
    <w:rsid w:val="00310834"/>
    <w:rsid w:val="0031087C"/>
    <w:rsid w:val="00310AB4"/>
    <w:rsid w:val="00311015"/>
    <w:rsid w:val="003113D4"/>
    <w:rsid w:val="0031144C"/>
    <w:rsid w:val="00311706"/>
    <w:rsid w:val="003118DC"/>
    <w:rsid w:val="00311CF9"/>
    <w:rsid w:val="0031234E"/>
    <w:rsid w:val="00312439"/>
    <w:rsid w:val="003125A1"/>
    <w:rsid w:val="00312867"/>
    <w:rsid w:val="003132BA"/>
    <w:rsid w:val="0031346B"/>
    <w:rsid w:val="003139AD"/>
    <w:rsid w:val="00313F3E"/>
    <w:rsid w:val="0031427D"/>
    <w:rsid w:val="0031471A"/>
    <w:rsid w:val="00314C82"/>
    <w:rsid w:val="00314CB7"/>
    <w:rsid w:val="00315206"/>
    <w:rsid w:val="00315429"/>
    <w:rsid w:val="0031580D"/>
    <w:rsid w:val="00315F98"/>
    <w:rsid w:val="0031604E"/>
    <w:rsid w:val="00316182"/>
    <w:rsid w:val="0031649B"/>
    <w:rsid w:val="0031662C"/>
    <w:rsid w:val="003168B8"/>
    <w:rsid w:val="00316F8A"/>
    <w:rsid w:val="00317352"/>
    <w:rsid w:val="003173FF"/>
    <w:rsid w:val="003176C1"/>
    <w:rsid w:val="00317E4F"/>
    <w:rsid w:val="003202F2"/>
    <w:rsid w:val="00320687"/>
    <w:rsid w:val="003207DF"/>
    <w:rsid w:val="003208E9"/>
    <w:rsid w:val="00320F7D"/>
    <w:rsid w:val="003217DA"/>
    <w:rsid w:val="0032198B"/>
    <w:rsid w:val="00321E9E"/>
    <w:rsid w:val="00321F9C"/>
    <w:rsid w:val="003223B3"/>
    <w:rsid w:val="00323428"/>
    <w:rsid w:val="00323451"/>
    <w:rsid w:val="003234E8"/>
    <w:rsid w:val="003234F9"/>
    <w:rsid w:val="003235BD"/>
    <w:rsid w:val="0032377C"/>
    <w:rsid w:val="00323864"/>
    <w:rsid w:val="00323909"/>
    <w:rsid w:val="00323A15"/>
    <w:rsid w:val="00323B8F"/>
    <w:rsid w:val="00323E85"/>
    <w:rsid w:val="00323F96"/>
    <w:rsid w:val="00323FD8"/>
    <w:rsid w:val="003242FF"/>
    <w:rsid w:val="003244FE"/>
    <w:rsid w:val="003246F7"/>
    <w:rsid w:val="00324738"/>
    <w:rsid w:val="003247C8"/>
    <w:rsid w:val="00324D52"/>
    <w:rsid w:val="00324D5E"/>
    <w:rsid w:val="00324F33"/>
    <w:rsid w:val="00325079"/>
    <w:rsid w:val="00325292"/>
    <w:rsid w:val="003254DB"/>
    <w:rsid w:val="0032556A"/>
    <w:rsid w:val="0032570F"/>
    <w:rsid w:val="00326068"/>
    <w:rsid w:val="003267AD"/>
    <w:rsid w:val="00326A9A"/>
    <w:rsid w:val="00326E6E"/>
    <w:rsid w:val="00327316"/>
    <w:rsid w:val="003277B3"/>
    <w:rsid w:val="00327A5A"/>
    <w:rsid w:val="00327B96"/>
    <w:rsid w:val="00330250"/>
    <w:rsid w:val="0033032D"/>
    <w:rsid w:val="0033067A"/>
    <w:rsid w:val="00330882"/>
    <w:rsid w:val="0033109A"/>
    <w:rsid w:val="003317DD"/>
    <w:rsid w:val="00331C47"/>
    <w:rsid w:val="00331D37"/>
    <w:rsid w:val="00332CB6"/>
    <w:rsid w:val="00333483"/>
    <w:rsid w:val="003335CE"/>
    <w:rsid w:val="003338C5"/>
    <w:rsid w:val="003338D7"/>
    <w:rsid w:val="0033390D"/>
    <w:rsid w:val="00333961"/>
    <w:rsid w:val="00333A0C"/>
    <w:rsid w:val="00333D43"/>
    <w:rsid w:val="00333DE7"/>
    <w:rsid w:val="00333F24"/>
    <w:rsid w:val="00333F3E"/>
    <w:rsid w:val="00334045"/>
    <w:rsid w:val="00334115"/>
    <w:rsid w:val="003341B6"/>
    <w:rsid w:val="003349AE"/>
    <w:rsid w:val="00334AA5"/>
    <w:rsid w:val="003352C7"/>
    <w:rsid w:val="003354DD"/>
    <w:rsid w:val="0033575A"/>
    <w:rsid w:val="00335D90"/>
    <w:rsid w:val="0033619D"/>
    <w:rsid w:val="003361B7"/>
    <w:rsid w:val="003363C2"/>
    <w:rsid w:val="00336628"/>
    <w:rsid w:val="00336D2A"/>
    <w:rsid w:val="00336E39"/>
    <w:rsid w:val="00336F0D"/>
    <w:rsid w:val="003370FF"/>
    <w:rsid w:val="00337159"/>
    <w:rsid w:val="0033736C"/>
    <w:rsid w:val="003376A9"/>
    <w:rsid w:val="00337C42"/>
    <w:rsid w:val="00340245"/>
    <w:rsid w:val="00340780"/>
    <w:rsid w:val="00340BD2"/>
    <w:rsid w:val="00340ED1"/>
    <w:rsid w:val="00340FCE"/>
    <w:rsid w:val="00341018"/>
    <w:rsid w:val="00341062"/>
    <w:rsid w:val="003412BA"/>
    <w:rsid w:val="00341620"/>
    <w:rsid w:val="00341770"/>
    <w:rsid w:val="00341934"/>
    <w:rsid w:val="00341CBF"/>
    <w:rsid w:val="00341FFA"/>
    <w:rsid w:val="0034277A"/>
    <w:rsid w:val="00343187"/>
    <w:rsid w:val="00343227"/>
    <w:rsid w:val="003433DF"/>
    <w:rsid w:val="00343570"/>
    <w:rsid w:val="00343820"/>
    <w:rsid w:val="003438A2"/>
    <w:rsid w:val="00343B7E"/>
    <w:rsid w:val="00343BE3"/>
    <w:rsid w:val="00343D54"/>
    <w:rsid w:val="0034424C"/>
    <w:rsid w:val="00344785"/>
    <w:rsid w:val="00344C5F"/>
    <w:rsid w:val="00344E79"/>
    <w:rsid w:val="0034523C"/>
    <w:rsid w:val="0034529B"/>
    <w:rsid w:val="00346113"/>
    <w:rsid w:val="00346427"/>
    <w:rsid w:val="003465DA"/>
    <w:rsid w:val="0034699B"/>
    <w:rsid w:val="00346ECF"/>
    <w:rsid w:val="00347093"/>
    <w:rsid w:val="00347641"/>
    <w:rsid w:val="0034766B"/>
    <w:rsid w:val="003478B4"/>
    <w:rsid w:val="00347F87"/>
    <w:rsid w:val="00350110"/>
    <w:rsid w:val="00350215"/>
    <w:rsid w:val="0035041C"/>
    <w:rsid w:val="00350A1B"/>
    <w:rsid w:val="00350A4C"/>
    <w:rsid w:val="003510F3"/>
    <w:rsid w:val="0035129E"/>
    <w:rsid w:val="003516A2"/>
    <w:rsid w:val="00351A49"/>
    <w:rsid w:val="00351B1A"/>
    <w:rsid w:val="00351B20"/>
    <w:rsid w:val="00351E34"/>
    <w:rsid w:val="00351E93"/>
    <w:rsid w:val="0035255E"/>
    <w:rsid w:val="0035272B"/>
    <w:rsid w:val="00352AAE"/>
    <w:rsid w:val="00353237"/>
    <w:rsid w:val="0035329A"/>
    <w:rsid w:val="0035358F"/>
    <w:rsid w:val="00353945"/>
    <w:rsid w:val="003539A7"/>
    <w:rsid w:val="00353ADE"/>
    <w:rsid w:val="00353B22"/>
    <w:rsid w:val="00354158"/>
    <w:rsid w:val="00354713"/>
    <w:rsid w:val="00354AE0"/>
    <w:rsid w:val="00354C58"/>
    <w:rsid w:val="00355001"/>
    <w:rsid w:val="003550F4"/>
    <w:rsid w:val="00355401"/>
    <w:rsid w:val="00355641"/>
    <w:rsid w:val="0035565B"/>
    <w:rsid w:val="00355981"/>
    <w:rsid w:val="003564FC"/>
    <w:rsid w:val="0035669E"/>
    <w:rsid w:val="00356FBF"/>
    <w:rsid w:val="00357754"/>
    <w:rsid w:val="00357AAA"/>
    <w:rsid w:val="00360032"/>
    <w:rsid w:val="0036006D"/>
    <w:rsid w:val="003605D9"/>
    <w:rsid w:val="0036079A"/>
    <w:rsid w:val="00360DCD"/>
    <w:rsid w:val="00360ED4"/>
    <w:rsid w:val="00360F07"/>
    <w:rsid w:val="00360FAE"/>
    <w:rsid w:val="00361B20"/>
    <w:rsid w:val="00361B30"/>
    <w:rsid w:val="00361C74"/>
    <w:rsid w:val="00361D38"/>
    <w:rsid w:val="00362A1F"/>
    <w:rsid w:val="003632C5"/>
    <w:rsid w:val="003633DE"/>
    <w:rsid w:val="00363B10"/>
    <w:rsid w:val="00363C31"/>
    <w:rsid w:val="00363D6E"/>
    <w:rsid w:val="00363E8E"/>
    <w:rsid w:val="003640A3"/>
    <w:rsid w:val="003640E5"/>
    <w:rsid w:val="00364229"/>
    <w:rsid w:val="00364623"/>
    <w:rsid w:val="00364AAC"/>
    <w:rsid w:val="003654BF"/>
    <w:rsid w:val="00365944"/>
    <w:rsid w:val="00365DA3"/>
    <w:rsid w:val="00365E7B"/>
    <w:rsid w:val="00365EB2"/>
    <w:rsid w:val="0036633C"/>
    <w:rsid w:val="00366D52"/>
    <w:rsid w:val="0036701F"/>
    <w:rsid w:val="003674E5"/>
    <w:rsid w:val="00370765"/>
    <w:rsid w:val="00370995"/>
    <w:rsid w:val="003709F8"/>
    <w:rsid w:val="0037100F"/>
    <w:rsid w:val="003712A6"/>
    <w:rsid w:val="0037137D"/>
    <w:rsid w:val="003716DE"/>
    <w:rsid w:val="003718ED"/>
    <w:rsid w:val="00371998"/>
    <w:rsid w:val="00371B39"/>
    <w:rsid w:val="0037205D"/>
    <w:rsid w:val="0037211A"/>
    <w:rsid w:val="003721C2"/>
    <w:rsid w:val="003729A7"/>
    <w:rsid w:val="003729BD"/>
    <w:rsid w:val="003734B0"/>
    <w:rsid w:val="0037364E"/>
    <w:rsid w:val="0037384D"/>
    <w:rsid w:val="003739B1"/>
    <w:rsid w:val="00373DBE"/>
    <w:rsid w:val="0037420A"/>
    <w:rsid w:val="00374689"/>
    <w:rsid w:val="00374B5B"/>
    <w:rsid w:val="00374CC9"/>
    <w:rsid w:val="00374D22"/>
    <w:rsid w:val="00374FD5"/>
    <w:rsid w:val="00375179"/>
    <w:rsid w:val="00375449"/>
    <w:rsid w:val="0037598D"/>
    <w:rsid w:val="00375B91"/>
    <w:rsid w:val="00375C8E"/>
    <w:rsid w:val="00375C90"/>
    <w:rsid w:val="00375F0A"/>
    <w:rsid w:val="00376114"/>
    <w:rsid w:val="00376525"/>
    <w:rsid w:val="00376781"/>
    <w:rsid w:val="0037700D"/>
    <w:rsid w:val="00377099"/>
    <w:rsid w:val="003771E4"/>
    <w:rsid w:val="003772A2"/>
    <w:rsid w:val="00377894"/>
    <w:rsid w:val="00377A91"/>
    <w:rsid w:val="00377CCE"/>
    <w:rsid w:val="00377E23"/>
    <w:rsid w:val="00377FE1"/>
    <w:rsid w:val="00380284"/>
    <w:rsid w:val="003802EF"/>
    <w:rsid w:val="0038052A"/>
    <w:rsid w:val="00380561"/>
    <w:rsid w:val="003806C4"/>
    <w:rsid w:val="003809E2"/>
    <w:rsid w:val="00380FFC"/>
    <w:rsid w:val="00381098"/>
    <w:rsid w:val="00381294"/>
    <w:rsid w:val="003813E6"/>
    <w:rsid w:val="00381438"/>
    <w:rsid w:val="0038191C"/>
    <w:rsid w:val="00381B27"/>
    <w:rsid w:val="00382206"/>
    <w:rsid w:val="0038264A"/>
    <w:rsid w:val="0038269A"/>
    <w:rsid w:val="003826C1"/>
    <w:rsid w:val="0038286D"/>
    <w:rsid w:val="00382A6F"/>
    <w:rsid w:val="00382B4E"/>
    <w:rsid w:val="00382B7E"/>
    <w:rsid w:val="00382C30"/>
    <w:rsid w:val="00382E81"/>
    <w:rsid w:val="003831FD"/>
    <w:rsid w:val="003832CB"/>
    <w:rsid w:val="00383F99"/>
    <w:rsid w:val="0038443E"/>
    <w:rsid w:val="003844CE"/>
    <w:rsid w:val="00384738"/>
    <w:rsid w:val="003847B8"/>
    <w:rsid w:val="00384ABA"/>
    <w:rsid w:val="00384B60"/>
    <w:rsid w:val="00384BD7"/>
    <w:rsid w:val="00384BFA"/>
    <w:rsid w:val="003852F2"/>
    <w:rsid w:val="0038549A"/>
    <w:rsid w:val="00385992"/>
    <w:rsid w:val="00385F1D"/>
    <w:rsid w:val="00385F4B"/>
    <w:rsid w:val="003862CC"/>
    <w:rsid w:val="0038631E"/>
    <w:rsid w:val="003868D4"/>
    <w:rsid w:val="0038695E"/>
    <w:rsid w:val="00386A28"/>
    <w:rsid w:val="00386E4D"/>
    <w:rsid w:val="00386F64"/>
    <w:rsid w:val="00387811"/>
    <w:rsid w:val="003900A0"/>
    <w:rsid w:val="0039020E"/>
    <w:rsid w:val="00390B3C"/>
    <w:rsid w:val="00390D7E"/>
    <w:rsid w:val="00390FC2"/>
    <w:rsid w:val="00391111"/>
    <w:rsid w:val="003912E7"/>
    <w:rsid w:val="00391E78"/>
    <w:rsid w:val="0039226C"/>
    <w:rsid w:val="003922E8"/>
    <w:rsid w:val="003924E8"/>
    <w:rsid w:val="00392568"/>
    <w:rsid w:val="0039266C"/>
    <w:rsid w:val="003926AC"/>
    <w:rsid w:val="003932C9"/>
    <w:rsid w:val="0039339E"/>
    <w:rsid w:val="00393848"/>
    <w:rsid w:val="00393CD9"/>
    <w:rsid w:val="00393FEC"/>
    <w:rsid w:val="003941D2"/>
    <w:rsid w:val="00394771"/>
    <w:rsid w:val="003947D5"/>
    <w:rsid w:val="00394ADB"/>
    <w:rsid w:val="00394AE9"/>
    <w:rsid w:val="003951A7"/>
    <w:rsid w:val="003951BD"/>
    <w:rsid w:val="0039540E"/>
    <w:rsid w:val="00395910"/>
    <w:rsid w:val="00395D4A"/>
    <w:rsid w:val="00395DD4"/>
    <w:rsid w:val="003962CE"/>
    <w:rsid w:val="00396892"/>
    <w:rsid w:val="003969E7"/>
    <w:rsid w:val="00396BE0"/>
    <w:rsid w:val="00396C63"/>
    <w:rsid w:val="00396C68"/>
    <w:rsid w:val="00397221"/>
    <w:rsid w:val="00397331"/>
    <w:rsid w:val="0039733A"/>
    <w:rsid w:val="0039738D"/>
    <w:rsid w:val="00397CF0"/>
    <w:rsid w:val="003A059A"/>
    <w:rsid w:val="003A0AAE"/>
    <w:rsid w:val="003A0C92"/>
    <w:rsid w:val="003A1162"/>
    <w:rsid w:val="003A15AC"/>
    <w:rsid w:val="003A185E"/>
    <w:rsid w:val="003A1A95"/>
    <w:rsid w:val="003A1A97"/>
    <w:rsid w:val="003A1CE5"/>
    <w:rsid w:val="003A2143"/>
    <w:rsid w:val="003A28BF"/>
    <w:rsid w:val="003A28CD"/>
    <w:rsid w:val="003A32F7"/>
    <w:rsid w:val="003A34EE"/>
    <w:rsid w:val="003A413D"/>
    <w:rsid w:val="003A47BB"/>
    <w:rsid w:val="003A4A09"/>
    <w:rsid w:val="003A4AE2"/>
    <w:rsid w:val="003A4C44"/>
    <w:rsid w:val="003A4FE5"/>
    <w:rsid w:val="003A53AF"/>
    <w:rsid w:val="003A56A9"/>
    <w:rsid w:val="003A5917"/>
    <w:rsid w:val="003A5F88"/>
    <w:rsid w:val="003A6150"/>
    <w:rsid w:val="003A61E6"/>
    <w:rsid w:val="003A6346"/>
    <w:rsid w:val="003A6A51"/>
    <w:rsid w:val="003A6F73"/>
    <w:rsid w:val="003A73D4"/>
    <w:rsid w:val="003A7672"/>
    <w:rsid w:val="003A7D0F"/>
    <w:rsid w:val="003A7EA4"/>
    <w:rsid w:val="003A7EA6"/>
    <w:rsid w:val="003A7F0E"/>
    <w:rsid w:val="003B00F6"/>
    <w:rsid w:val="003B08BE"/>
    <w:rsid w:val="003B0C60"/>
    <w:rsid w:val="003B150C"/>
    <w:rsid w:val="003B150E"/>
    <w:rsid w:val="003B1B99"/>
    <w:rsid w:val="003B1D6F"/>
    <w:rsid w:val="003B21A7"/>
    <w:rsid w:val="003B278D"/>
    <w:rsid w:val="003B2996"/>
    <w:rsid w:val="003B2E60"/>
    <w:rsid w:val="003B3275"/>
    <w:rsid w:val="003B342C"/>
    <w:rsid w:val="003B3BAD"/>
    <w:rsid w:val="003B418C"/>
    <w:rsid w:val="003B442D"/>
    <w:rsid w:val="003B4B0A"/>
    <w:rsid w:val="003B4EA1"/>
    <w:rsid w:val="003B528A"/>
    <w:rsid w:val="003B5425"/>
    <w:rsid w:val="003B5768"/>
    <w:rsid w:val="003B5969"/>
    <w:rsid w:val="003B5E26"/>
    <w:rsid w:val="003B6462"/>
    <w:rsid w:val="003B7036"/>
    <w:rsid w:val="003B7063"/>
    <w:rsid w:val="003B736E"/>
    <w:rsid w:val="003B74C9"/>
    <w:rsid w:val="003B74EC"/>
    <w:rsid w:val="003B7C2F"/>
    <w:rsid w:val="003B7DDD"/>
    <w:rsid w:val="003C0A75"/>
    <w:rsid w:val="003C0B8C"/>
    <w:rsid w:val="003C0BCA"/>
    <w:rsid w:val="003C155C"/>
    <w:rsid w:val="003C1662"/>
    <w:rsid w:val="003C1832"/>
    <w:rsid w:val="003C1A1B"/>
    <w:rsid w:val="003C1EDA"/>
    <w:rsid w:val="003C1FA3"/>
    <w:rsid w:val="003C248B"/>
    <w:rsid w:val="003C24BC"/>
    <w:rsid w:val="003C27B6"/>
    <w:rsid w:val="003C29D8"/>
    <w:rsid w:val="003C2E0F"/>
    <w:rsid w:val="003C30A1"/>
    <w:rsid w:val="003C34D4"/>
    <w:rsid w:val="003C35E2"/>
    <w:rsid w:val="003C3943"/>
    <w:rsid w:val="003C3CED"/>
    <w:rsid w:val="003C40AF"/>
    <w:rsid w:val="003C43FF"/>
    <w:rsid w:val="003C470A"/>
    <w:rsid w:val="003C4892"/>
    <w:rsid w:val="003C4CE0"/>
    <w:rsid w:val="003C4D9C"/>
    <w:rsid w:val="003C4E7E"/>
    <w:rsid w:val="003C5049"/>
    <w:rsid w:val="003C517F"/>
    <w:rsid w:val="003C5295"/>
    <w:rsid w:val="003C5517"/>
    <w:rsid w:val="003C5626"/>
    <w:rsid w:val="003C5A24"/>
    <w:rsid w:val="003C5C82"/>
    <w:rsid w:val="003C5D9D"/>
    <w:rsid w:val="003C6899"/>
    <w:rsid w:val="003C6DC7"/>
    <w:rsid w:val="003C7040"/>
    <w:rsid w:val="003C71CD"/>
    <w:rsid w:val="003C73C7"/>
    <w:rsid w:val="003C7876"/>
    <w:rsid w:val="003D01AA"/>
    <w:rsid w:val="003D0982"/>
    <w:rsid w:val="003D0AA2"/>
    <w:rsid w:val="003D1385"/>
    <w:rsid w:val="003D1A70"/>
    <w:rsid w:val="003D27D1"/>
    <w:rsid w:val="003D2D1D"/>
    <w:rsid w:val="003D2D3B"/>
    <w:rsid w:val="003D3554"/>
    <w:rsid w:val="003D365F"/>
    <w:rsid w:val="003D3C5C"/>
    <w:rsid w:val="003D3CB7"/>
    <w:rsid w:val="003D3D35"/>
    <w:rsid w:val="003D3E4B"/>
    <w:rsid w:val="003D42D0"/>
    <w:rsid w:val="003D4409"/>
    <w:rsid w:val="003D46D4"/>
    <w:rsid w:val="003D470A"/>
    <w:rsid w:val="003D4F6D"/>
    <w:rsid w:val="003D4FAE"/>
    <w:rsid w:val="003D51E0"/>
    <w:rsid w:val="003D524D"/>
    <w:rsid w:val="003D52A2"/>
    <w:rsid w:val="003D53AE"/>
    <w:rsid w:val="003D5466"/>
    <w:rsid w:val="003D5942"/>
    <w:rsid w:val="003D5A71"/>
    <w:rsid w:val="003D5C05"/>
    <w:rsid w:val="003D5FFA"/>
    <w:rsid w:val="003D62C1"/>
    <w:rsid w:val="003D62C3"/>
    <w:rsid w:val="003D6507"/>
    <w:rsid w:val="003D6937"/>
    <w:rsid w:val="003D6C03"/>
    <w:rsid w:val="003D72F7"/>
    <w:rsid w:val="003D7D05"/>
    <w:rsid w:val="003E07E6"/>
    <w:rsid w:val="003E09C4"/>
    <w:rsid w:val="003E0CAF"/>
    <w:rsid w:val="003E0FD7"/>
    <w:rsid w:val="003E16BC"/>
    <w:rsid w:val="003E1BD2"/>
    <w:rsid w:val="003E1CCA"/>
    <w:rsid w:val="003E1D5B"/>
    <w:rsid w:val="003E2379"/>
    <w:rsid w:val="003E24A1"/>
    <w:rsid w:val="003E32BA"/>
    <w:rsid w:val="003E32D5"/>
    <w:rsid w:val="003E338C"/>
    <w:rsid w:val="003E3472"/>
    <w:rsid w:val="003E3AE1"/>
    <w:rsid w:val="003E3B2A"/>
    <w:rsid w:val="003E43C1"/>
    <w:rsid w:val="003E4E4F"/>
    <w:rsid w:val="003E517F"/>
    <w:rsid w:val="003E546E"/>
    <w:rsid w:val="003E556F"/>
    <w:rsid w:val="003E5AD9"/>
    <w:rsid w:val="003E5B39"/>
    <w:rsid w:val="003E5DF1"/>
    <w:rsid w:val="003E5F45"/>
    <w:rsid w:val="003E66AA"/>
    <w:rsid w:val="003E6A51"/>
    <w:rsid w:val="003E6AFD"/>
    <w:rsid w:val="003E6C8D"/>
    <w:rsid w:val="003E73CD"/>
    <w:rsid w:val="003E76FE"/>
    <w:rsid w:val="003E782A"/>
    <w:rsid w:val="003E7B8B"/>
    <w:rsid w:val="003E7FBD"/>
    <w:rsid w:val="003F04A8"/>
    <w:rsid w:val="003F051A"/>
    <w:rsid w:val="003F0683"/>
    <w:rsid w:val="003F0BD8"/>
    <w:rsid w:val="003F10A7"/>
    <w:rsid w:val="003F112C"/>
    <w:rsid w:val="003F17DD"/>
    <w:rsid w:val="003F19E8"/>
    <w:rsid w:val="003F24CF"/>
    <w:rsid w:val="003F2960"/>
    <w:rsid w:val="003F2B32"/>
    <w:rsid w:val="003F2F10"/>
    <w:rsid w:val="003F2F7C"/>
    <w:rsid w:val="003F306E"/>
    <w:rsid w:val="003F343A"/>
    <w:rsid w:val="003F3960"/>
    <w:rsid w:val="003F3A2D"/>
    <w:rsid w:val="003F3E86"/>
    <w:rsid w:val="003F47E7"/>
    <w:rsid w:val="003F4C56"/>
    <w:rsid w:val="003F5270"/>
    <w:rsid w:val="003F5496"/>
    <w:rsid w:val="003F54C8"/>
    <w:rsid w:val="003F5866"/>
    <w:rsid w:val="003F58FE"/>
    <w:rsid w:val="003F596B"/>
    <w:rsid w:val="003F5976"/>
    <w:rsid w:val="003F5BA8"/>
    <w:rsid w:val="003F5BAC"/>
    <w:rsid w:val="003F5C96"/>
    <w:rsid w:val="003F5F59"/>
    <w:rsid w:val="003F5FB6"/>
    <w:rsid w:val="003F6367"/>
    <w:rsid w:val="003F6545"/>
    <w:rsid w:val="003F6728"/>
    <w:rsid w:val="003F6ED7"/>
    <w:rsid w:val="003F7209"/>
    <w:rsid w:val="003F75E5"/>
    <w:rsid w:val="003F76E2"/>
    <w:rsid w:val="004000B8"/>
    <w:rsid w:val="00400298"/>
    <w:rsid w:val="0040073F"/>
    <w:rsid w:val="00400888"/>
    <w:rsid w:val="004009C4"/>
    <w:rsid w:val="00400E8E"/>
    <w:rsid w:val="00401078"/>
    <w:rsid w:val="004011A6"/>
    <w:rsid w:val="004015E9"/>
    <w:rsid w:val="004016FA"/>
    <w:rsid w:val="00401758"/>
    <w:rsid w:val="00401986"/>
    <w:rsid w:val="004019F2"/>
    <w:rsid w:val="00402C42"/>
    <w:rsid w:val="004031DB"/>
    <w:rsid w:val="00403774"/>
    <w:rsid w:val="004037B3"/>
    <w:rsid w:val="00403D99"/>
    <w:rsid w:val="004045BF"/>
    <w:rsid w:val="0040471C"/>
    <w:rsid w:val="00404B30"/>
    <w:rsid w:val="00404BC2"/>
    <w:rsid w:val="00404E68"/>
    <w:rsid w:val="00404F17"/>
    <w:rsid w:val="00404F6E"/>
    <w:rsid w:val="0040511C"/>
    <w:rsid w:val="004051FC"/>
    <w:rsid w:val="00405292"/>
    <w:rsid w:val="00405299"/>
    <w:rsid w:val="00405357"/>
    <w:rsid w:val="0040559B"/>
    <w:rsid w:val="00405781"/>
    <w:rsid w:val="00405901"/>
    <w:rsid w:val="00406311"/>
    <w:rsid w:val="004068AE"/>
    <w:rsid w:val="004068C2"/>
    <w:rsid w:val="00406B90"/>
    <w:rsid w:val="00406E23"/>
    <w:rsid w:val="00406F8F"/>
    <w:rsid w:val="004073C6"/>
    <w:rsid w:val="004075BD"/>
    <w:rsid w:val="00407689"/>
    <w:rsid w:val="004077BD"/>
    <w:rsid w:val="00407B0C"/>
    <w:rsid w:val="00407BA5"/>
    <w:rsid w:val="00407D7D"/>
    <w:rsid w:val="004102CF"/>
    <w:rsid w:val="004105D2"/>
    <w:rsid w:val="0041080A"/>
    <w:rsid w:val="00410BA2"/>
    <w:rsid w:val="00411023"/>
    <w:rsid w:val="00411092"/>
    <w:rsid w:val="004113AF"/>
    <w:rsid w:val="00411441"/>
    <w:rsid w:val="004116AA"/>
    <w:rsid w:val="00411E1F"/>
    <w:rsid w:val="00412610"/>
    <w:rsid w:val="0041268B"/>
    <w:rsid w:val="00412DC5"/>
    <w:rsid w:val="0041338D"/>
    <w:rsid w:val="00413410"/>
    <w:rsid w:val="00413982"/>
    <w:rsid w:val="00413F6B"/>
    <w:rsid w:val="0041497C"/>
    <w:rsid w:val="00414CD7"/>
    <w:rsid w:val="00414F27"/>
    <w:rsid w:val="00414F86"/>
    <w:rsid w:val="004150D4"/>
    <w:rsid w:val="004152A1"/>
    <w:rsid w:val="004155F9"/>
    <w:rsid w:val="00415A98"/>
    <w:rsid w:val="00415B59"/>
    <w:rsid w:val="00415B83"/>
    <w:rsid w:val="00415F27"/>
    <w:rsid w:val="00415F8F"/>
    <w:rsid w:val="00416061"/>
    <w:rsid w:val="00416213"/>
    <w:rsid w:val="0041640D"/>
    <w:rsid w:val="00416680"/>
    <w:rsid w:val="00416686"/>
    <w:rsid w:val="00416939"/>
    <w:rsid w:val="00416B8C"/>
    <w:rsid w:val="00417860"/>
    <w:rsid w:val="00420035"/>
    <w:rsid w:val="00420382"/>
    <w:rsid w:val="004203E0"/>
    <w:rsid w:val="004207C4"/>
    <w:rsid w:val="0042088C"/>
    <w:rsid w:val="00420E1E"/>
    <w:rsid w:val="00420E9E"/>
    <w:rsid w:val="0042115A"/>
    <w:rsid w:val="00421401"/>
    <w:rsid w:val="00421B20"/>
    <w:rsid w:val="00421BBF"/>
    <w:rsid w:val="00422513"/>
    <w:rsid w:val="00422D6F"/>
    <w:rsid w:val="00423116"/>
    <w:rsid w:val="0042326C"/>
    <w:rsid w:val="004233D1"/>
    <w:rsid w:val="004238B4"/>
    <w:rsid w:val="00423A3C"/>
    <w:rsid w:val="00423A63"/>
    <w:rsid w:val="00423D83"/>
    <w:rsid w:val="00423E49"/>
    <w:rsid w:val="004244F4"/>
    <w:rsid w:val="00424A2D"/>
    <w:rsid w:val="00424CC0"/>
    <w:rsid w:val="00424DB6"/>
    <w:rsid w:val="00424DD8"/>
    <w:rsid w:val="004251DE"/>
    <w:rsid w:val="004252A6"/>
    <w:rsid w:val="00425529"/>
    <w:rsid w:val="00425799"/>
    <w:rsid w:val="004259A1"/>
    <w:rsid w:val="00425E71"/>
    <w:rsid w:val="00426302"/>
    <w:rsid w:val="00426571"/>
    <w:rsid w:val="00426691"/>
    <w:rsid w:val="00426853"/>
    <w:rsid w:val="004276DF"/>
    <w:rsid w:val="00430079"/>
    <w:rsid w:val="004300B5"/>
    <w:rsid w:val="004302CD"/>
    <w:rsid w:val="00430306"/>
    <w:rsid w:val="0043045C"/>
    <w:rsid w:val="004305BB"/>
    <w:rsid w:val="004306A4"/>
    <w:rsid w:val="004307C8"/>
    <w:rsid w:val="00430806"/>
    <w:rsid w:val="00430BAB"/>
    <w:rsid w:val="00430BF0"/>
    <w:rsid w:val="004318B0"/>
    <w:rsid w:val="004319F7"/>
    <w:rsid w:val="00431BC7"/>
    <w:rsid w:val="00431C4E"/>
    <w:rsid w:val="00431ECB"/>
    <w:rsid w:val="004323DD"/>
    <w:rsid w:val="004323FC"/>
    <w:rsid w:val="00432401"/>
    <w:rsid w:val="00432803"/>
    <w:rsid w:val="00432971"/>
    <w:rsid w:val="00432DA7"/>
    <w:rsid w:val="00433320"/>
    <w:rsid w:val="00433471"/>
    <w:rsid w:val="00433592"/>
    <w:rsid w:val="00433777"/>
    <w:rsid w:val="00433AD3"/>
    <w:rsid w:val="00433E7D"/>
    <w:rsid w:val="00433FD3"/>
    <w:rsid w:val="00434002"/>
    <w:rsid w:val="004340CD"/>
    <w:rsid w:val="004346BA"/>
    <w:rsid w:val="00434B1D"/>
    <w:rsid w:val="00434C99"/>
    <w:rsid w:val="00434CE1"/>
    <w:rsid w:val="00435447"/>
    <w:rsid w:val="00435467"/>
    <w:rsid w:val="00435568"/>
    <w:rsid w:val="00435583"/>
    <w:rsid w:val="0043566D"/>
    <w:rsid w:val="0043585C"/>
    <w:rsid w:val="00435A5D"/>
    <w:rsid w:val="00435AA1"/>
    <w:rsid w:val="00435D30"/>
    <w:rsid w:val="0043605F"/>
    <w:rsid w:val="0043619F"/>
    <w:rsid w:val="00436224"/>
    <w:rsid w:val="0043639B"/>
    <w:rsid w:val="0043643F"/>
    <w:rsid w:val="004364CD"/>
    <w:rsid w:val="00436F95"/>
    <w:rsid w:val="00437043"/>
    <w:rsid w:val="004370C4"/>
    <w:rsid w:val="004373A5"/>
    <w:rsid w:val="0043747A"/>
    <w:rsid w:val="004376C6"/>
    <w:rsid w:val="00437799"/>
    <w:rsid w:val="00437900"/>
    <w:rsid w:val="00437C5E"/>
    <w:rsid w:val="00437DFE"/>
    <w:rsid w:val="00437F97"/>
    <w:rsid w:val="004402B6"/>
    <w:rsid w:val="00440743"/>
    <w:rsid w:val="004409AA"/>
    <w:rsid w:val="00440CA9"/>
    <w:rsid w:val="00440DA9"/>
    <w:rsid w:val="00441171"/>
    <w:rsid w:val="004413D1"/>
    <w:rsid w:val="004416F0"/>
    <w:rsid w:val="0044212D"/>
    <w:rsid w:val="004422FF"/>
    <w:rsid w:val="00442BA3"/>
    <w:rsid w:val="00442C1D"/>
    <w:rsid w:val="00442D9E"/>
    <w:rsid w:val="00442DB5"/>
    <w:rsid w:val="00442DCE"/>
    <w:rsid w:val="00442F93"/>
    <w:rsid w:val="004432ED"/>
    <w:rsid w:val="00443423"/>
    <w:rsid w:val="00443785"/>
    <w:rsid w:val="004438DA"/>
    <w:rsid w:val="0044399B"/>
    <w:rsid w:val="00443AC4"/>
    <w:rsid w:val="00443E01"/>
    <w:rsid w:val="00444419"/>
    <w:rsid w:val="00444C3F"/>
    <w:rsid w:val="00444D3A"/>
    <w:rsid w:val="00445007"/>
    <w:rsid w:val="0044513D"/>
    <w:rsid w:val="0044558E"/>
    <w:rsid w:val="00445CBA"/>
    <w:rsid w:val="00445D03"/>
    <w:rsid w:val="0044607C"/>
    <w:rsid w:val="00446139"/>
    <w:rsid w:val="004461C1"/>
    <w:rsid w:val="004462B3"/>
    <w:rsid w:val="00446323"/>
    <w:rsid w:val="004464F3"/>
    <w:rsid w:val="00446838"/>
    <w:rsid w:val="004469DE"/>
    <w:rsid w:val="00446CBD"/>
    <w:rsid w:val="00446D33"/>
    <w:rsid w:val="00446E09"/>
    <w:rsid w:val="00447514"/>
    <w:rsid w:val="004476B6"/>
    <w:rsid w:val="004477A4"/>
    <w:rsid w:val="00447F49"/>
    <w:rsid w:val="00450055"/>
    <w:rsid w:val="00450B9C"/>
    <w:rsid w:val="00450EEE"/>
    <w:rsid w:val="0045117D"/>
    <w:rsid w:val="004516FD"/>
    <w:rsid w:val="00451D49"/>
    <w:rsid w:val="00451FAD"/>
    <w:rsid w:val="004522EC"/>
    <w:rsid w:val="00452916"/>
    <w:rsid w:val="00452B51"/>
    <w:rsid w:val="004530FD"/>
    <w:rsid w:val="00453CB8"/>
    <w:rsid w:val="0045402E"/>
    <w:rsid w:val="0045490D"/>
    <w:rsid w:val="00454AE7"/>
    <w:rsid w:val="004550A5"/>
    <w:rsid w:val="0045531F"/>
    <w:rsid w:val="00455724"/>
    <w:rsid w:val="00455E04"/>
    <w:rsid w:val="004563E8"/>
    <w:rsid w:val="004564FF"/>
    <w:rsid w:val="0045696C"/>
    <w:rsid w:val="00456B34"/>
    <w:rsid w:val="00457047"/>
    <w:rsid w:val="004573A2"/>
    <w:rsid w:val="00457CA2"/>
    <w:rsid w:val="00457D91"/>
    <w:rsid w:val="004601C8"/>
    <w:rsid w:val="00460211"/>
    <w:rsid w:val="004604EB"/>
    <w:rsid w:val="00460535"/>
    <w:rsid w:val="00460A1E"/>
    <w:rsid w:val="00460A96"/>
    <w:rsid w:val="004611C6"/>
    <w:rsid w:val="0046161B"/>
    <w:rsid w:val="004622F4"/>
    <w:rsid w:val="004623B7"/>
    <w:rsid w:val="004624E5"/>
    <w:rsid w:val="0046280B"/>
    <w:rsid w:val="00462989"/>
    <w:rsid w:val="00462C46"/>
    <w:rsid w:val="0046308A"/>
    <w:rsid w:val="00463210"/>
    <w:rsid w:val="0046347B"/>
    <w:rsid w:val="0046351C"/>
    <w:rsid w:val="004636A3"/>
    <w:rsid w:val="00463CC2"/>
    <w:rsid w:val="00463F53"/>
    <w:rsid w:val="004641B0"/>
    <w:rsid w:val="00464732"/>
    <w:rsid w:val="004647C1"/>
    <w:rsid w:val="00464AA0"/>
    <w:rsid w:val="00465356"/>
    <w:rsid w:val="00465787"/>
    <w:rsid w:val="004661E4"/>
    <w:rsid w:val="004664DA"/>
    <w:rsid w:val="0046695C"/>
    <w:rsid w:val="004669F3"/>
    <w:rsid w:val="00466EEB"/>
    <w:rsid w:val="00466F24"/>
    <w:rsid w:val="0046751D"/>
    <w:rsid w:val="00467C48"/>
    <w:rsid w:val="00467DEE"/>
    <w:rsid w:val="00467F61"/>
    <w:rsid w:val="0047036E"/>
    <w:rsid w:val="00470428"/>
    <w:rsid w:val="004707F6"/>
    <w:rsid w:val="0047085A"/>
    <w:rsid w:val="00470BF0"/>
    <w:rsid w:val="00470F15"/>
    <w:rsid w:val="004714BC"/>
    <w:rsid w:val="00471695"/>
    <w:rsid w:val="00471A1C"/>
    <w:rsid w:val="00471C01"/>
    <w:rsid w:val="00472D63"/>
    <w:rsid w:val="00472DE0"/>
    <w:rsid w:val="00473AE1"/>
    <w:rsid w:val="0047418A"/>
    <w:rsid w:val="00474386"/>
    <w:rsid w:val="004743CB"/>
    <w:rsid w:val="00474484"/>
    <w:rsid w:val="0047472A"/>
    <w:rsid w:val="00474A8A"/>
    <w:rsid w:val="00474DD2"/>
    <w:rsid w:val="00475094"/>
    <w:rsid w:val="00475763"/>
    <w:rsid w:val="00475AF5"/>
    <w:rsid w:val="00475B3B"/>
    <w:rsid w:val="00475C9B"/>
    <w:rsid w:val="0047650B"/>
    <w:rsid w:val="004765E7"/>
    <w:rsid w:val="00476A90"/>
    <w:rsid w:val="004772F4"/>
    <w:rsid w:val="0047743D"/>
    <w:rsid w:val="00480101"/>
    <w:rsid w:val="0048045C"/>
    <w:rsid w:val="00480466"/>
    <w:rsid w:val="00480A7E"/>
    <w:rsid w:val="00480C69"/>
    <w:rsid w:val="00480F27"/>
    <w:rsid w:val="004812A7"/>
    <w:rsid w:val="0048184F"/>
    <w:rsid w:val="00481A39"/>
    <w:rsid w:val="0048255B"/>
    <w:rsid w:val="0048285B"/>
    <w:rsid w:val="004830CA"/>
    <w:rsid w:val="004835EB"/>
    <w:rsid w:val="0048362F"/>
    <w:rsid w:val="00483805"/>
    <w:rsid w:val="00483B3A"/>
    <w:rsid w:val="00484085"/>
    <w:rsid w:val="004840BE"/>
    <w:rsid w:val="004841BE"/>
    <w:rsid w:val="0048437A"/>
    <w:rsid w:val="00484639"/>
    <w:rsid w:val="0048483E"/>
    <w:rsid w:val="0048494C"/>
    <w:rsid w:val="004852B0"/>
    <w:rsid w:val="004852B4"/>
    <w:rsid w:val="00485605"/>
    <w:rsid w:val="00485AC3"/>
    <w:rsid w:val="00485E56"/>
    <w:rsid w:val="004860B8"/>
    <w:rsid w:val="004863C4"/>
    <w:rsid w:val="00486714"/>
    <w:rsid w:val="0048674D"/>
    <w:rsid w:val="00486CA0"/>
    <w:rsid w:val="00487BB4"/>
    <w:rsid w:val="00487DE4"/>
    <w:rsid w:val="00487EDC"/>
    <w:rsid w:val="004902F4"/>
    <w:rsid w:val="00490446"/>
    <w:rsid w:val="00490747"/>
    <w:rsid w:val="004909B5"/>
    <w:rsid w:val="004909D8"/>
    <w:rsid w:val="00490B74"/>
    <w:rsid w:val="00490FD4"/>
    <w:rsid w:val="004910FA"/>
    <w:rsid w:val="00491114"/>
    <w:rsid w:val="0049139A"/>
    <w:rsid w:val="0049169C"/>
    <w:rsid w:val="00491844"/>
    <w:rsid w:val="004918FD"/>
    <w:rsid w:val="0049190D"/>
    <w:rsid w:val="0049190F"/>
    <w:rsid w:val="0049199B"/>
    <w:rsid w:val="00491CFA"/>
    <w:rsid w:val="00491EB8"/>
    <w:rsid w:val="004920A1"/>
    <w:rsid w:val="0049268F"/>
    <w:rsid w:val="004926BA"/>
    <w:rsid w:val="004928D4"/>
    <w:rsid w:val="00492E99"/>
    <w:rsid w:val="00492EEF"/>
    <w:rsid w:val="004934FD"/>
    <w:rsid w:val="00493736"/>
    <w:rsid w:val="00493C35"/>
    <w:rsid w:val="00493E72"/>
    <w:rsid w:val="00493F43"/>
    <w:rsid w:val="0049403C"/>
    <w:rsid w:val="00495570"/>
    <w:rsid w:val="00495593"/>
    <w:rsid w:val="004955BF"/>
    <w:rsid w:val="004955F3"/>
    <w:rsid w:val="00495825"/>
    <w:rsid w:val="00495B38"/>
    <w:rsid w:val="00495C1D"/>
    <w:rsid w:val="004961AC"/>
    <w:rsid w:val="00496E34"/>
    <w:rsid w:val="00497282"/>
    <w:rsid w:val="0049759F"/>
    <w:rsid w:val="004976CE"/>
    <w:rsid w:val="004979E5"/>
    <w:rsid w:val="004A036F"/>
    <w:rsid w:val="004A05EB"/>
    <w:rsid w:val="004A0E61"/>
    <w:rsid w:val="004A1022"/>
    <w:rsid w:val="004A104D"/>
    <w:rsid w:val="004A11C8"/>
    <w:rsid w:val="004A1413"/>
    <w:rsid w:val="004A1732"/>
    <w:rsid w:val="004A178E"/>
    <w:rsid w:val="004A1E00"/>
    <w:rsid w:val="004A1EFA"/>
    <w:rsid w:val="004A21C5"/>
    <w:rsid w:val="004A21D1"/>
    <w:rsid w:val="004A270F"/>
    <w:rsid w:val="004A29A8"/>
    <w:rsid w:val="004A2F72"/>
    <w:rsid w:val="004A310A"/>
    <w:rsid w:val="004A3257"/>
    <w:rsid w:val="004A345B"/>
    <w:rsid w:val="004A3561"/>
    <w:rsid w:val="004A4193"/>
    <w:rsid w:val="004A4257"/>
    <w:rsid w:val="004A44C7"/>
    <w:rsid w:val="004A48F7"/>
    <w:rsid w:val="004A4A3D"/>
    <w:rsid w:val="004A4EC5"/>
    <w:rsid w:val="004A51A3"/>
    <w:rsid w:val="004A5238"/>
    <w:rsid w:val="004A5946"/>
    <w:rsid w:val="004A5A4A"/>
    <w:rsid w:val="004A5A74"/>
    <w:rsid w:val="004A5D6F"/>
    <w:rsid w:val="004A62F7"/>
    <w:rsid w:val="004A63D0"/>
    <w:rsid w:val="004A6433"/>
    <w:rsid w:val="004A6AF4"/>
    <w:rsid w:val="004A75DB"/>
    <w:rsid w:val="004A7B69"/>
    <w:rsid w:val="004A7D87"/>
    <w:rsid w:val="004B0091"/>
    <w:rsid w:val="004B043B"/>
    <w:rsid w:val="004B05E3"/>
    <w:rsid w:val="004B0AC0"/>
    <w:rsid w:val="004B0FCF"/>
    <w:rsid w:val="004B1977"/>
    <w:rsid w:val="004B1C94"/>
    <w:rsid w:val="004B1CC1"/>
    <w:rsid w:val="004B1DF9"/>
    <w:rsid w:val="004B201A"/>
    <w:rsid w:val="004B2139"/>
    <w:rsid w:val="004B246A"/>
    <w:rsid w:val="004B284B"/>
    <w:rsid w:val="004B288E"/>
    <w:rsid w:val="004B2F05"/>
    <w:rsid w:val="004B2F65"/>
    <w:rsid w:val="004B3024"/>
    <w:rsid w:val="004B3189"/>
    <w:rsid w:val="004B3214"/>
    <w:rsid w:val="004B362F"/>
    <w:rsid w:val="004B37E1"/>
    <w:rsid w:val="004B4852"/>
    <w:rsid w:val="004B51E1"/>
    <w:rsid w:val="004B51E4"/>
    <w:rsid w:val="004B5287"/>
    <w:rsid w:val="004B5E1C"/>
    <w:rsid w:val="004B648B"/>
    <w:rsid w:val="004B65CD"/>
    <w:rsid w:val="004B661E"/>
    <w:rsid w:val="004B6A8A"/>
    <w:rsid w:val="004B6B9D"/>
    <w:rsid w:val="004B6C45"/>
    <w:rsid w:val="004B6EE6"/>
    <w:rsid w:val="004B7389"/>
    <w:rsid w:val="004C0307"/>
    <w:rsid w:val="004C04E5"/>
    <w:rsid w:val="004C1838"/>
    <w:rsid w:val="004C1ADB"/>
    <w:rsid w:val="004C26DD"/>
    <w:rsid w:val="004C2BB5"/>
    <w:rsid w:val="004C30C8"/>
    <w:rsid w:val="004C3213"/>
    <w:rsid w:val="004C409D"/>
    <w:rsid w:val="004C4DF9"/>
    <w:rsid w:val="004C5CFC"/>
    <w:rsid w:val="004C66BE"/>
    <w:rsid w:val="004C69BB"/>
    <w:rsid w:val="004C6A59"/>
    <w:rsid w:val="004C6AC6"/>
    <w:rsid w:val="004C6D5B"/>
    <w:rsid w:val="004C6E08"/>
    <w:rsid w:val="004C6F72"/>
    <w:rsid w:val="004C715D"/>
    <w:rsid w:val="004C73C4"/>
    <w:rsid w:val="004C7C67"/>
    <w:rsid w:val="004C7C78"/>
    <w:rsid w:val="004D0291"/>
    <w:rsid w:val="004D02A3"/>
    <w:rsid w:val="004D05B8"/>
    <w:rsid w:val="004D071E"/>
    <w:rsid w:val="004D0908"/>
    <w:rsid w:val="004D09D0"/>
    <w:rsid w:val="004D0A0B"/>
    <w:rsid w:val="004D0BF2"/>
    <w:rsid w:val="004D0EA4"/>
    <w:rsid w:val="004D0F2D"/>
    <w:rsid w:val="004D196B"/>
    <w:rsid w:val="004D21F5"/>
    <w:rsid w:val="004D21FE"/>
    <w:rsid w:val="004D2667"/>
    <w:rsid w:val="004D26C8"/>
    <w:rsid w:val="004D298E"/>
    <w:rsid w:val="004D29D0"/>
    <w:rsid w:val="004D2CFD"/>
    <w:rsid w:val="004D2F50"/>
    <w:rsid w:val="004D3077"/>
    <w:rsid w:val="004D32BA"/>
    <w:rsid w:val="004D381C"/>
    <w:rsid w:val="004D3FC1"/>
    <w:rsid w:val="004D44B8"/>
    <w:rsid w:val="004D454C"/>
    <w:rsid w:val="004D4992"/>
    <w:rsid w:val="004D4A5D"/>
    <w:rsid w:val="004D4C31"/>
    <w:rsid w:val="004D4C77"/>
    <w:rsid w:val="004D4F97"/>
    <w:rsid w:val="004D5635"/>
    <w:rsid w:val="004D5B70"/>
    <w:rsid w:val="004D5F14"/>
    <w:rsid w:val="004D6040"/>
    <w:rsid w:val="004D61F1"/>
    <w:rsid w:val="004D6422"/>
    <w:rsid w:val="004D68AE"/>
    <w:rsid w:val="004D6BD9"/>
    <w:rsid w:val="004D6C8F"/>
    <w:rsid w:val="004D6D1C"/>
    <w:rsid w:val="004D71D0"/>
    <w:rsid w:val="004D779B"/>
    <w:rsid w:val="004D7840"/>
    <w:rsid w:val="004D7865"/>
    <w:rsid w:val="004D7DCB"/>
    <w:rsid w:val="004D7E20"/>
    <w:rsid w:val="004E0B04"/>
    <w:rsid w:val="004E0F97"/>
    <w:rsid w:val="004E15C6"/>
    <w:rsid w:val="004E1C16"/>
    <w:rsid w:val="004E240A"/>
    <w:rsid w:val="004E27B2"/>
    <w:rsid w:val="004E29B1"/>
    <w:rsid w:val="004E2A75"/>
    <w:rsid w:val="004E2E51"/>
    <w:rsid w:val="004E2E8A"/>
    <w:rsid w:val="004E2F5B"/>
    <w:rsid w:val="004E3C36"/>
    <w:rsid w:val="004E3E31"/>
    <w:rsid w:val="004E3ED6"/>
    <w:rsid w:val="004E4159"/>
    <w:rsid w:val="004E4188"/>
    <w:rsid w:val="004E41C2"/>
    <w:rsid w:val="004E4254"/>
    <w:rsid w:val="004E4823"/>
    <w:rsid w:val="004E4A64"/>
    <w:rsid w:val="004E4C80"/>
    <w:rsid w:val="004E4FC8"/>
    <w:rsid w:val="004E51A3"/>
    <w:rsid w:val="004E51DC"/>
    <w:rsid w:val="004E5332"/>
    <w:rsid w:val="004E5396"/>
    <w:rsid w:val="004E5F4A"/>
    <w:rsid w:val="004E614F"/>
    <w:rsid w:val="004E63BA"/>
    <w:rsid w:val="004E66C8"/>
    <w:rsid w:val="004E6A3D"/>
    <w:rsid w:val="004E6F6A"/>
    <w:rsid w:val="004E6FA1"/>
    <w:rsid w:val="004E7164"/>
    <w:rsid w:val="004E74F8"/>
    <w:rsid w:val="004E77B7"/>
    <w:rsid w:val="004E7A51"/>
    <w:rsid w:val="004E7F01"/>
    <w:rsid w:val="004F041A"/>
    <w:rsid w:val="004F07D7"/>
    <w:rsid w:val="004F0802"/>
    <w:rsid w:val="004F09D4"/>
    <w:rsid w:val="004F0AC9"/>
    <w:rsid w:val="004F0C21"/>
    <w:rsid w:val="004F0F60"/>
    <w:rsid w:val="004F1AD2"/>
    <w:rsid w:val="004F1B8F"/>
    <w:rsid w:val="004F1BD5"/>
    <w:rsid w:val="004F1EB6"/>
    <w:rsid w:val="004F1F1D"/>
    <w:rsid w:val="004F22B2"/>
    <w:rsid w:val="004F26AE"/>
    <w:rsid w:val="004F2BDA"/>
    <w:rsid w:val="004F2D3B"/>
    <w:rsid w:val="004F351F"/>
    <w:rsid w:val="004F3714"/>
    <w:rsid w:val="004F3940"/>
    <w:rsid w:val="004F3F48"/>
    <w:rsid w:val="004F4D24"/>
    <w:rsid w:val="004F5A8B"/>
    <w:rsid w:val="004F5D88"/>
    <w:rsid w:val="004F63FC"/>
    <w:rsid w:val="004F697C"/>
    <w:rsid w:val="004F6D60"/>
    <w:rsid w:val="004F78D6"/>
    <w:rsid w:val="004F7910"/>
    <w:rsid w:val="004F794C"/>
    <w:rsid w:val="004F7B3E"/>
    <w:rsid w:val="0050003E"/>
    <w:rsid w:val="005001C9"/>
    <w:rsid w:val="005001D1"/>
    <w:rsid w:val="00500B8D"/>
    <w:rsid w:val="00500E79"/>
    <w:rsid w:val="005013D0"/>
    <w:rsid w:val="00501D89"/>
    <w:rsid w:val="005023EF"/>
    <w:rsid w:val="0050252E"/>
    <w:rsid w:val="0050299C"/>
    <w:rsid w:val="00502BBF"/>
    <w:rsid w:val="00503388"/>
    <w:rsid w:val="00503F5B"/>
    <w:rsid w:val="0050425B"/>
    <w:rsid w:val="00504978"/>
    <w:rsid w:val="00504C0B"/>
    <w:rsid w:val="00504C81"/>
    <w:rsid w:val="00505612"/>
    <w:rsid w:val="005057E3"/>
    <w:rsid w:val="00505842"/>
    <w:rsid w:val="00505A93"/>
    <w:rsid w:val="00505C58"/>
    <w:rsid w:val="00505D7B"/>
    <w:rsid w:val="00505F7B"/>
    <w:rsid w:val="00506162"/>
    <w:rsid w:val="005061DD"/>
    <w:rsid w:val="00506EB9"/>
    <w:rsid w:val="00507CD5"/>
    <w:rsid w:val="00507D49"/>
    <w:rsid w:val="005105F6"/>
    <w:rsid w:val="00510EF5"/>
    <w:rsid w:val="0051145A"/>
    <w:rsid w:val="00511933"/>
    <w:rsid w:val="00511A8A"/>
    <w:rsid w:val="00512044"/>
    <w:rsid w:val="00512235"/>
    <w:rsid w:val="00512295"/>
    <w:rsid w:val="0051247D"/>
    <w:rsid w:val="005124C4"/>
    <w:rsid w:val="0051250D"/>
    <w:rsid w:val="00512633"/>
    <w:rsid w:val="0051263D"/>
    <w:rsid w:val="005130D5"/>
    <w:rsid w:val="00513C64"/>
    <w:rsid w:val="00513EBE"/>
    <w:rsid w:val="0051433F"/>
    <w:rsid w:val="005149EC"/>
    <w:rsid w:val="00514DB0"/>
    <w:rsid w:val="00514E8B"/>
    <w:rsid w:val="00515C23"/>
    <w:rsid w:val="00515EC1"/>
    <w:rsid w:val="00515EF6"/>
    <w:rsid w:val="00516027"/>
    <w:rsid w:val="00516414"/>
    <w:rsid w:val="0051651F"/>
    <w:rsid w:val="005166CD"/>
    <w:rsid w:val="00516709"/>
    <w:rsid w:val="00517554"/>
    <w:rsid w:val="00517695"/>
    <w:rsid w:val="00517B7C"/>
    <w:rsid w:val="00517F07"/>
    <w:rsid w:val="00520383"/>
    <w:rsid w:val="00520BC1"/>
    <w:rsid w:val="00520C83"/>
    <w:rsid w:val="00520FD8"/>
    <w:rsid w:val="0052125F"/>
    <w:rsid w:val="00521591"/>
    <w:rsid w:val="005215D0"/>
    <w:rsid w:val="0052201E"/>
    <w:rsid w:val="005220F3"/>
    <w:rsid w:val="005223BD"/>
    <w:rsid w:val="00522786"/>
    <w:rsid w:val="00522A0D"/>
    <w:rsid w:val="00522AC7"/>
    <w:rsid w:val="00522B40"/>
    <w:rsid w:val="00522C41"/>
    <w:rsid w:val="005233FA"/>
    <w:rsid w:val="005235F3"/>
    <w:rsid w:val="0052367E"/>
    <w:rsid w:val="0052399E"/>
    <w:rsid w:val="00523B02"/>
    <w:rsid w:val="00523C16"/>
    <w:rsid w:val="00523DC3"/>
    <w:rsid w:val="00523EFC"/>
    <w:rsid w:val="005240E1"/>
    <w:rsid w:val="0052425A"/>
    <w:rsid w:val="005243B8"/>
    <w:rsid w:val="005246B1"/>
    <w:rsid w:val="005247E9"/>
    <w:rsid w:val="00524D58"/>
    <w:rsid w:val="00525482"/>
    <w:rsid w:val="00525692"/>
    <w:rsid w:val="0052613A"/>
    <w:rsid w:val="00526F4E"/>
    <w:rsid w:val="00527048"/>
    <w:rsid w:val="005271E4"/>
    <w:rsid w:val="0052748D"/>
    <w:rsid w:val="00527541"/>
    <w:rsid w:val="00527791"/>
    <w:rsid w:val="00527ABA"/>
    <w:rsid w:val="00527EB8"/>
    <w:rsid w:val="00527F01"/>
    <w:rsid w:val="00527FA7"/>
    <w:rsid w:val="005300CC"/>
    <w:rsid w:val="005301CA"/>
    <w:rsid w:val="005301F7"/>
    <w:rsid w:val="00530980"/>
    <w:rsid w:val="00530C58"/>
    <w:rsid w:val="00530E87"/>
    <w:rsid w:val="005313D8"/>
    <w:rsid w:val="005315D5"/>
    <w:rsid w:val="005317AF"/>
    <w:rsid w:val="0053198E"/>
    <w:rsid w:val="00531E1F"/>
    <w:rsid w:val="00531FC7"/>
    <w:rsid w:val="005322BD"/>
    <w:rsid w:val="0053233A"/>
    <w:rsid w:val="00532E2B"/>
    <w:rsid w:val="005332CC"/>
    <w:rsid w:val="00533BDC"/>
    <w:rsid w:val="00533F8D"/>
    <w:rsid w:val="0053463E"/>
    <w:rsid w:val="005347B5"/>
    <w:rsid w:val="00534920"/>
    <w:rsid w:val="00534D4E"/>
    <w:rsid w:val="00534D8C"/>
    <w:rsid w:val="00534E61"/>
    <w:rsid w:val="00535FDF"/>
    <w:rsid w:val="00536211"/>
    <w:rsid w:val="0053638A"/>
    <w:rsid w:val="0053640B"/>
    <w:rsid w:val="005369DD"/>
    <w:rsid w:val="00536C90"/>
    <w:rsid w:val="0053719D"/>
    <w:rsid w:val="00537254"/>
    <w:rsid w:val="00537BDA"/>
    <w:rsid w:val="00537C64"/>
    <w:rsid w:val="00537DC1"/>
    <w:rsid w:val="00537F70"/>
    <w:rsid w:val="00537F79"/>
    <w:rsid w:val="005401C9"/>
    <w:rsid w:val="0054040E"/>
    <w:rsid w:val="005409C9"/>
    <w:rsid w:val="00540AB1"/>
    <w:rsid w:val="00540D23"/>
    <w:rsid w:val="00540FF2"/>
    <w:rsid w:val="00541383"/>
    <w:rsid w:val="00541A85"/>
    <w:rsid w:val="00541B20"/>
    <w:rsid w:val="00542011"/>
    <w:rsid w:val="0054242B"/>
    <w:rsid w:val="0054257F"/>
    <w:rsid w:val="00542D39"/>
    <w:rsid w:val="00542EA0"/>
    <w:rsid w:val="00542F25"/>
    <w:rsid w:val="00543127"/>
    <w:rsid w:val="005435BE"/>
    <w:rsid w:val="00543702"/>
    <w:rsid w:val="00543715"/>
    <w:rsid w:val="00543966"/>
    <w:rsid w:val="00543967"/>
    <w:rsid w:val="00543EF8"/>
    <w:rsid w:val="00544336"/>
    <w:rsid w:val="00544768"/>
    <w:rsid w:val="00545459"/>
    <w:rsid w:val="005457CC"/>
    <w:rsid w:val="005459EF"/>
    <w:rsid w:val="00545A15"/>
    <w:rsid w:val="00545E6D"/>
    <w:rsid w:val="005469BC"/>
    <w:rsid w:val="00546F4C"/>
    <w:rsid w:val="005476B6"/>
    <w:rsid w:val="00547A9D"/>
    <w:rsid w:val="0055053E"/>
    <w:rsid w:val="0055075A"/>
    <w:rsid w:val="00550963"/>
    <w:rsid w:val="00551343"/>
    <w:rsid w:val="005513FC"/>
    <w:rsid w:val="0055193D"/>
    <w:rsid w:val="005529B0"/>
    <w:rsid w:val="00552A55"/>
    <w:rsid w:val="00552B52"/>
    <w:rsid w:val="00552B87"/>
    <w:rsid w:val="00553034"/>
    <w:rsid w:val="005534EC"/>
    <w:rsid w:val="0055416B"/>
    <w:rsid w:val="005542DC"/>
    <w:rsid w:val="005545A7"/>
    <w:rsid w:val="00554797"/>
    <w:rsid w:val="005550E0"/>
    <w:rsid w:val="005560C5"/>
    <w:rsid w:val="005565A5"/>
    <w:rsid w:val="005568A3"/>
    <w:rsid w:val="005569EA"/>
    <w:rsid w:val="00557012"/>
    <w:rsid w:val="005575C5"/>
    <w:rsid w:val="00557631"/>
    <w:rsid w:val="00557697"/>
    <w:rsid w:val="00557A7E"/>
    <w:rsid w:val="00560041"/>
    <w:rsid w:val="00560122"/>
    <w:rsid w:val="0056088B"/>
    <w:rsid w:val="005608E9"/>
    <w:rsid w:val="00560BD5"/>
    <w:rsid w:val="00560CB3"/>
    <w:rsid w:val="00560EC0"/>
    <w:rsid w:val="0056100E"/>
    <w:rsid w:val="00561978"/>
    <w:rsid w:val="00561A5D"/>
    <w:rsid w:val="00561A69"/>
    <w:rsid w:val="00561F7C"/>
    <w:rsid w:val="0056243F"/>
    <w:rsid w:val="00562949"/>
    <w:rsid w:val="00562B23"/>
    <w:rsid w:val="00562BC6"/>
    <w:rsid w:val="00562D82"/>
    <w:rsid w:val="00563148"/>
    <w:rsid w:val="005635F3"/>
    <w:rsid w:val="00563792"/>
    <w:rsid w:val="005639E7"/>
    <w:rsid w:val="00563B66"/>
    <w:rsid w:val="00563C3E"/>
    <w:rsid w:val="00564124"/>
    <w:rsid w:val="00564680"/>
    <w:rsid w:val="005647D8"/>
    <w:rsid w:val="005650BE"/>
    <w:rsid w:val="00565212"/>
    <w:rsid w:val="00565608"/>
    <w:rsid w:val="005656DE"/>
    <w:rsid w:val="00565812"/>
    <w:rsid w:val="0056581B"/>
    <w:rsid w:val="00565DC9"/>
    <w:rsid w:val="00565EEE"/>
    <w:rsid w:val="00566082"/>
    <w:rsid w:val="005660D6"/>
    <w:rsid w:val="005660DD"/>
    <w:rsid w:val="0056710E"/>
    <w:rsid w:val="00567569"/>
    <w:rsid w:val="00567E99"/>
    <w:rsid w:val="00570492"/>
    <w:rsid w:val="005706B9"/>
    <w:rsid w:val="0057081D"/>
    <w:rsid w:val="00570AFD"/>
    <w:rsid w:val="00571328"/>
    <w:rsid w:val="005717F0"/>
    <w:rsid w:val="005718EC"/>
    <w:rsid w:val="00571A0B"/>
    <w:rsid w:val="00571D9E"/>
    <w:rsid w:val="00571E29"/>
    <w:rsid w:val="005723B7"/>
    <w:rsid w:val="005727EF"/>
    <w:rsid w:val="00572D20"/>
    <w:rsid w:val="00572EC0"/>
    <w:rsid w:val="005740CE"/>
    <w:rsid w:val="00574321"/>
    <w:rsid w:val="005748FF"/>
    <w:rsid w:val="00574DFC"/>
    <w:rsid w:val="00574EA5"/>
    <w:rsid w:val="00574EB5"/>
    <w:rsid w:val="00574F31"/>
    <w:rsid w:val="0057564D"/>
    <w:rsid w:val="0057576E"/>
    <w:rsid w:val="00575878"/>
    <w:rsid w:val="00575D51"/>
    <w:rsid w:val="00575F40"/>
    <w:rsid w:val="00576042"/>
    <w:rsid w:val="0057614A"/>
    <w:rsid w:val="00576239"/>
    <w:rsid w:val="005762E4"/>
    <w:rsid w:val="00576577"/>
    <w:rsid w:val="005766F0"/>
    <w:rsid w:val="00576726"/>
    <w:rsid w:val="00576CD1"/>
    <w:rsid w:val="00576CD4"/>
    <w:rsid w:val="00576CEE"/>
    <w:rsid w:val="00576DD8"/>
    <w:rsid w:val="00576E2E"/>
    <w:rsid w:val="00576F39"/>
    <w:rsid w:val="00577066"/>
    <w:rsid w:val="005770B8"/>
    <w:rsid w:val="0057751A"/>
    <w:rsid w:val="0057761C"/>
    <w:rsid w:val="00577673"/>
    <w:rsid w:val="005777A2"/>
    <w:rsid w:val="00577A0D"/>
    <w:rsid w:val="00577FF5"/>
    <w:rsid w:val="0058013C"/>
    <w:rsid w:val="00580511"/>
    <w:rsid w:val="005808D9"/>
    <w:rsid w:val="00580971"/>
    <w:rsid w:val="00580D2A"/>
    <w:rsid w:val="00580D6B"/>
    <w:rsid w:val="005811C2"/>
    <w:rsid w:val="00581586"/>
    <w:rsid w:val="0058164F"/>
    <w:rsid w:val="00581F1A"/>
    <w:rsid w:val="00582330"/>
    <w:rsid w:val="00582730"/>
    <w:rsid w:val="0058374C"/>
    <w:rsid w:val="00583C75"/>
    <w:rsid w:val="00583E7A"/>
    <w:rsid w:val="0058410C"/>
    <w:rsid w:val="0058414B"/>
    <w:rsid w:val="00584587"/>
    <w:rsid w:val="00584708"/>
    <w:rsid w:val="00584761"/>
    <w:rsid w:val="0058478C"/>
    <w:rsid w:val="00584922"/>
    <w:rsid w:val="00584ECC"/>
    <w:rsid w:val="0058567C"/>
    <w:rsid w:val="0058574A"/>
    <w:rsid w:val="005857A3"/>
    <w:rsid w:val="005858C5"/>
    <w:rsid w:val="00586297"/>
    <w:rsid w:val="005864B2"/>
    <w:rsid w:val="00586A7D"/>
    <w:rsid w:val="00586D47"/>
    <w:rsid w:val="00587099"/>
    <w:rsid w:val="0058719C"/>
    <w:rsid w:val="00587288"/>
    <w:rsid w:val="0058736B"/>
    <w:rsid w:val="00587395"/>
    <w:rsid w:val="005874E3"/>
    <w:rsid w:val="0058774A"/>
    <w:rsid w:val="00587A19"/>
    <w:rsid w:val="00587E7A"/>
    <w:rsid w:val="005904F5"/>
    <w:rsid w:val="00590D6F"/>
    <w:rsid w:val="00590DBF"/>
    <w:rsid w:val="005912BB"/>
    <w:rsid w:val="005912F1"/>
    <w:rsid w:val="00591EE4"/>
    <w:rsid w:val="00592280"/>
    <w:rsid w:val="005926B0"/>
    <w:rsid w:val="0059294A"/>
    <w:rsid w:val="00592A11"/>
    <w:rsid w:val="00592C1C"/>
    <w:rsid w:val="00592D67"/>
    <w:rsid w:val="00592F26"/>
    <w:rsid w:val="005934C1"/>
    <w:rsid w:val="00593946"/>
    <w:rsid w:val="00593A64"/>
    <w:rsid w:val="00593F92"/>
    <w:rsid w:val="005942C5"/>
    <w:rsid w:val="0059436C"/>
    <w:rsid w:val="0059461A"/>
    <w:rsid w:val="0059473B"/>
    <w:rsid w:val="0059504B"/>
    <w:rsid w:val="005956E3"/>
    <w:rsid w:val="0059574F"/>
    <w:rsid w:val="00595A01"/>
    <w:rsid w:val="00595A55"/>
    <w:rsid w:val="00596107"/>
    <w:rsid w:val="0059631F"/>
    <w:rsid w:val="005963E1"/>
    <w:rsid w:val="005969EC"/>
    <w:rsid w:val="00596A4B"/>
    <w:rsid w:val="00596D98"/>
    <w:rsid w:val="00596ECD"/>
    <w:rsid w:val="005A0169"/>
    <w:rsid w:val="005A026B"/>
    <w:rsid w:val="005A0392"/>
    <w:rsid w:val="005A0434"/>
    <w:rsid w:val="005A0619"/>
    <w:rsid w:val="005A06CF"/>
    <w:rsid w:val="005A0927"/>
    <w:rsid w:val="005A09F0"/>
    <w:rsid w:val="005A1309"/>
    <w:rsid w:val="005A138C"/>
    <w:rsid w:val="005A1533"/>
    <w:rsid w:val="005A16BD"/>
    <w:rsid w:val="005A17D3"/>
    <w:rsid w:val="005A1B06"/>
    <w:rsid w:val="005A1D20"/>
    <w:rsid w:val="005A1D4A"/>
    <w:rsid w:val="005A2231"/>
    <w:rsid w:val="005A2708"/>
    <w:rsid w:val="005A29E7"/>
    <w:rsid w:val="005A2CCC"/>
    <w:rsid w:val="005A2EE5"/>
    <w:rsid w:val="005A30F3"/>
    <w:rsid w:val="005A3773"/>
    <w:rsid w:val="005A3DF4"/>
    <w:rsid w:val="005A3ED4"/>
    <w:rsid w:val="005A4188"/>
    <w:rsid w:val="005A44D7"/>
    <w:rsid w:val="005A44D9"/>
    <w:rsid w:val="005A45A5"/>
    <w:rsid w:val="005A4746"/>
    <w:rsid w:val="005A53C6"/>
    <w:rsid w:val="005A56F6"/>
    <w:rsid w:val="005A57A9"/>
    <w:rsid w:val="005A5905"/>
    <w:rsid w:val="005A591B"/>
    <w:rsid w:val="005A5C61"/>
    <w:rsid w:val="005A5CBD"/>
    <w:rsid w:val="005A5E11"/>
    <w:rsid w:val="005A6665"/>
    <w:rsid w:val="005A6D08"/>
    <w:rsid w:val="005A6FE0"/>
    <w:rsid w:val="005A728D"/>
    <w:rsid w:val="005A7357"/>
    <w:rsid w:val="005A74F5"/>
    <w:rsid w:val="005A79E9"/>
    <w:rsid w:val="005A7CBC"/>
    <w:rsid w:val="005A7D07"/>
    <w:rsid w:val="005B043F"/>
    <w:rsid w:val="005B058A"/>
    <w:rsid w:val="005B0A02"/>
    <w:rsid w:val="005B0CC2"/>
    <w:rsid w:val="005B0E5E"/>
    <w:rsid w:val="005B10F0"/>
    <w:rsid w:val="005B1B72"/>
    <w:rsid w:val="005B1BA2"/>
    <w:rsid w:val="005B1D42"/>
    <w:rsid w:val="005B2493"/>
    <w:rsid w:val="005B24DE"/>
    <w:rsid w:val="005B2926"/>
    <w:rsid w:val="005B3209"/>
    <w:rsid w:val="005B3362"/>
    <w:rsid w:val="005B3433"/>
    <w:rsid w:val="005B3652"/>
    <w:rsid w:val="005B3CF9"/>
    <w:rsid w:val="005B405A"/>
    <w:rsid w:val="005B4126"/>
    <w:rsid w:val="005B41A3"/>
    <w:rsid w:val="005B420F"/>
    <w:rsid w:val="005B4AC7"/>
    <w:rsid w:val="005B4D5F"/>
    <w:rsid w:val="005B52AF"/>
    <w:rsid w:val="005B56A9"/>
    <w:rsid w:val="005B5F1D"/>
    <w:rsid w:val="005B5F28"/>
    <w:rsid w:val="005B61CA"/>
    <w:rsid w:val="005B69CD"/>
    <w:rsid w:val="005B6D8E"/>
    <w:rsid w:val="005B6E2A"/>
    <w:rsid w:val="005B7314"/>
    <w:rsid w:val="005B754C"/>
    <w:rsid w:val="005B76E5"/>
    <w:rsid w:val="005B7918"/>
    <w:rsid w:val="005B7EA8"/>
    <w:rsid w:val="005C0017"/>
    <w:rsid w:val="005C02B3"/>
    <w:rsid w:val="005C02E9"/>
    <w:rsid w:val="005C032D"/>
    <w:rsid w:val="005C053C"/>
    <w:rsid w:val="005C074D"/>
    <w:rsid w:val="005C0B4B"/>
    <w:rsid w:val="005C0B74"/>
    <w:rsid w:val="005C0DAE"/>
    <w:rsid w:val="005C123F"/>
    <w:rsid w:val="005C1486"/>
    <w:rsid w:val="005C17E6"/>
    <w:rsid w:val="005C24AD"/>
    <w:rsid w:val="005C263E"/>
    <w:rsid w:val="005C26CD"/>
    <w:rsid w:val="005C31AA"/>
    <w:rsid w:val="005C3262"/>
    <w:rsid w:val="005C327D"/>
    <w:rsid w:val="005C3595"/>
    <w:rsid w:val="005C3813"/>
    <w:rsid w:val="005C3FDD"/>
    <w:rsid w:val="005C42C2"/>
    <w:rsid w:val="005C4B9A"/>
    <w:rsid w:val="005C4DEC"/>
    <w:rsid w:val="005C4F3D"/>
    <w:rsid w:val="005C5D57"/>
    <w:rsid w:val="005C5F9D"/>
    <w:rsid w:val="005C5FC7"/>
    <w:rsid w:val="005C6556"/>
    <w:rsid w:val="005C68CA"/>
    <w:rsid w:val="005C6C33"/>
    <w:rsid w:val="005C6DDF"/>
    <w:rsid w:val="005D06CE"/>
    <w:rsid w:val="005D0BE9"/>
    <w:rsid w:val="005D0C6E"/>
    <w:rsid w:val="005D0EC5"/>
    <w:rsid w:val="005D118A"/>
    <w:rsid w:val="005D1191"/>
    <w:rsid w:val="005D11F6"/>
    <w:rsid w:val="005D188F"/>
    <w:rsid w:val="005D196A"/>
    <w:rsid w:val="005D20C4"/>
    <w:rsid w:val="005D2206"/>
    <w:rsid w:val="005D25DA"/>
    <w:rsid w:val="005D297F"/>
    <w:rsid w:val="005D312C"/>
    <w:rsid w:val="005D3735"/>
    <w:rsid w:val="005D38AB"/>
    <w:rsid w:val="005D3A32"/>
    <w:rsid w:val="005D3A3E"/>
    <w:rsid w:val="005D3C93"/>
    <w:rsid w:val="005D4100"/>
    <w:rsid w:val="005D4D80"/>
    <w:rsid w:val="005D4F89"/>
    <w:rsid w:val="005D5530"/>
    <w:rsid w:val="005D5662"/>
    <w:rsid w:val="005D57E4"/>
    <w:rsid w:val="005D5847"/>
    <w:rsid w:val="005D5B99"/>
    <w:rsid w:val="005D5EA2"/>
    <w:rsid w:val="005D61A1"/>
    <w:rsid w:val="005D6384"/>
    <w:rsid w:val="005D646A"/>
    <w:rsid w:val="005D64DE"/>
    <w:rsid w:val="005D65D2"/>
    <w:rsid w:val="005D65E1"/>
    <w:rsid w:val="005D67E4"/>
    <w:rsid w:val="005D69B3"/>
    <w:rsid w:val="005D6F1A"/>
    <w:rsid w:val="005D711C"/>
    <w:rsid w:val="005D7228"/>
    <w:rsid w:val="005D72FE"/>
    <w:rsid w:val="005D73F0"/>
    <w:rsid w:val="005D76A6"/>
    <w:rsid w:val="005D7CE8"/>
    <w:rsid w:val="005E06E2"/>
    <w:rsid w:val="005E076B"/>
    <w:rsid w:val="005E0795"/>
    <w:rsid w:val="005E0ADC"/>
    <w:rsid w:val="005E0CAA"/>
    <w:rsid w:val="005E0D69"/>
    <w:rsid w:val="005E11FB"/>
    <w:rsid w:val="005E16A5"/>
    <w:rsid w:val="005E177D"/>
    <w:rsid w:val="005E17AC"/>
    <w:rsid w:val="005E226C"/>
    <w:rsid w:val="005E2389"/>
    <w:rsid w:val="005E23BD"/>
    <w:rsid w:val="005E2643"/>
    <w:rsid w:val="005E3084"/>
    <w:rsid w:val="005E3179"/>
    <w:rsid w:val="005E379B"/>
    <w:rsid w:val="005E39EF"/>
    <w:rsid w:val="005E3E1C"/>
    <w:rsid w:val="005E40DE"/>
    <w:rsid w:val="005E411A"/>
    <w:rsid w:val="005E4387"/>
    <w:rsid w:val="005E4B54"/>
    <w:rsid w:val="005E4C73"/>
    <w:rsid w:val="005E5347"/>
    <w:rsid w:val="005E57C8"/>
    <w:rsid w:val="005E5A81"/>
    <w:rsid w:val="005E5A9C"/>
    <w:rsid w:val="005E5E64"/>
    <w:rsid w:val="005E6092"/>
    <w:rsid w:val="005E614C"/>
    <w:rsid w:val="005E631E"/>
    <w:rsid w:val="005E6A22"/>
    <w:rsid w:val="005E6A7F"/>
    <w:rsid w:val="005E6C68"/>
    <w:rsid w:val="005E6CA9"/>
    <w:rsid w:val="005E7144"/>
    <w:rsid w:val="005E7359"/>
    <w:rsid w:val="005E755A"/>
    <w:rsid w:val="005E76BF"/>
    <w:rsid w:val="005E76E6"/>
    <w:rsid w:val="005E7E87"/>
    <w:rsid w:val="005F01DC"/>
    <w:rsid w:val="005F021A"/>
    <w:rsid w:val="005F04EB"/>
    <w:rsid w:val="005F05A0"/>
    <w:rsid w:val="005F072A"/>
    <w:rsid w:val="005F098A"/>
    <w:rsid w:val="005F0DBF"/>
    <w:rsid w:val="005F0ED6"/>
    <w:rsid w:val="005F0FA2"/>
    <w:rsid w:val="005F1126"/>
    <w:rsid w:val="005F1596"/>
    <w:rsid w:val="005F168E"/>
    <w:rsid w:val="005F16D5"/>
    <w:rsid w:val="005F18C7"/>
    <w:rsid w:val="005F1C31"/>
    <w:rsid w:val="005F2641"/>
    <w:rsid w:val="005F2A3A"/>
    <w:rsid w:val="005F2A90"/>
    <w:rsid w:val="005F2ED0"/>
    <w:rsid w:val="005F2F4C"/>
    <w:rsid w:val="005F3076"/>
    <w:rsid w:val="005F30EC"/>
    <w:rsid w:val="005F3188"/>
    <w:rsid w:val="005F31E0"/>
    <w:rsid w:val="005F396D"/>
    <w:rsid w:val="005F3CE3"/>
    <w:rsid w:val="005F3DF8"/>
    <w:rsid w:val="005F3E20"/>
    <w:rsid w:val="005F3EAB"/>
    <w:rsid w:val="005F3EC3"/>
    <w:rsid w:val="005F4226"/>
    <w:rsid w:val="005F4ACD"/>
    <w:rsid w:val="005F5420"/>
    <w:rsid w:val="005F54E0"/>
    <w:rsid w:val="005F58E2"/>
    <w:rsid w:val="005F5B3E"/>
    <w:rsid w:val="005F5C04"/>
    <w:rsid w:val="005F6228"/>
    <w:rsid w:val="005F7264"/>
    <w:rsid w:val="005F769E"/>
    <w:rsid w:val="005F7AD6"/>
    <w:rsid w:val="005F7AF0"/>
    <w:rsid w:val="0060003B"/>
    <w:rsid w:val="00600755"/>
    <w:rsid w:val="00600C9F"/>
    <w:rsid w:val="00601378"/>
    <w:rsid w:val="00601780"/>
    <w:rsid w:val="00601D75"/>
    <w:rsid w:val="00601F06"/>
    <w:rsid w:val="0060216B"/>
    <w:rsid w:val="006021B0"/>
    <w:rsid w:val="00602276"/>
    <w:rsid w:val="0060241D"/>
    <w:rsid w:val="00602487"/>
    <w:rsid w:val="006027C2"/>
    <w:rsid w:val="00602E76"/>
    <w:rsid w:val="00603008"/>
    <w:rsid w:val="00603314"/>
    <w:rsid w:val="00603B55"/>
    <w:rsid w:val="00603BC5"/>
    <w:rsid w:val="00603E15"/>
    <w:rsid w:val="0060447A"/>
    <w:rsid w:val="00604515"/>
    <w:rsid w:val="006053AD"/>
    <w:rsid w:val="00605414"/>
    <w:rsid w:val="006054EA"/>
    <w:rsid w:val="00605DE5"/>
    <w:rsid w:val="00606A9B"/>
    <w:rsid w:val="00606DE8"/>
    <w:rsid w:val="00606F30"/>
    <w:rsid w:val="006078EC"/>
    <w:rsid w:val="00607AF4"/>
    <w:rsid w:val="00607E14"/>
    <w:rsid w:val="00610467"/>
    <w:rsid w:val="00610A3B"/>
    <w:rsid w:val="00610D95"/>
    <w:rsid w:val="00610DA7"/>
    <w:rsid w:val="00611729"/>
    <w:rsid w:val="00611929"/>
    <w:rsid w:val="006123AC"/>
    <w:rsid w:val="00612648"/>
    <w:rsid w:val="00612A6E"/>
    <w:rsid w:val="006133E9"/>
    <w:rsid w:val="00613BCE"/>
    <w:rsid w:val="006146E1"/>
    <w:rsid w:val="00614882"/>
    <w:rsid w:val="00615241"/>
    <w:rsid w:val="0061537C"/>
    <w:rsid w:val="00615382"/>
    <w:rsid w:val="0061541C"/>
    <w:rsid w:val="00615FCB"/>
    <w:rsid w:val="006165B8"/>
    <w:rsid w:val="006166D0"/>
    <w:rsid w:val="00616CF0"/>
    <w:rsid w:val="00616F67"/>
    <w:rsid w:val="0061781B"/>
    <w:rsid w:val="00620354"/>
    <w:rsid w:val="0062042B"/>
    <w:rsid w:val="00620EB6"/>
    <w:rsid w:val="00621095"/>
    <w:rsid w:val="00621444"/>
    <w:rsid w:val="00621743"/>
    <w:rsid w:val="00621BC8"/>
    <w:rsid w:val="00621CCF"/>
    <w:rsid w:val="00621D46"/>
    <w:rsid w:val="006223F2"/>
    <w:rsid w:val="0062280A"/>
    <w:rsid w:val="00622D67"/>
    <w:rsid w:val="00622D75"/>
    <w:rsid w:val="00623012"/>
    <w:rsid w:val="00623186"/>
    <w:rsid w:val="00623645"/>
    <w:rsid w:val="0062375A"/>
    <w:rsid w:val="006238B7"/>
    <w:rsid w:val="00623900"/>
    <w:rsid w:val="00624185"/>
    <w:rsid w:val="0062432A"/>
    <w:rsid w:val="00624936"/>
    <w:rsid w:val="0062494F"/>
    <w:rsid w:val="00624B4F"/>
    <w:rsid w:val="00624CA2"/>
    <w:rsid w:val="00624E1E"/>
    <w:rsid w:val="00625045"/>
    <w:rsid w:val="006251BF"/>
    <w:rsid w:val="00625D1A"/>
    <w:rsid w:val="00626027"/>
    <w:rsid w:val="00626469"/>
    <w:rsid w:val="00626E5F"/>
    <w:rsid w:val="00626FC3"/>
    <w:rsid w:val="0062715C"/>
    <w:rsid w:val="006277E6"/>
    <w:rsid w:val="00627CDE"/>
    <w:rsid w:val="00627D0E"/>
    <w:rsid w:val="006300BA"/>
    <w:rsid w:val="006300EF"/>
    <w:rsid w:val="00630188"/>
    <w:rsid w:val="00630199"/>
    <w:rsid w:val="006306FC"/>
    <w:rsid w:val="00630F86"/>
    <w:rsid w:val="0063126C"/>
    <w:rsid w:val="00631298"/>
    <w:rsid w:val="00631360"/>
    <w:rsid w:val="00631442"/>
    <w:rsid w:val="00631449"/>
    <w:rsid w:val="006314E7"/>
    <w:rsid w:val="00631508"/>
    <w:rsid w:val="00631B9D"/>
    <w:rsid w:val="00632159"/>
    <w:rsid w:val="00632503"/>
    <w:rsid w:val="00632823"/>
    <w:rsid w:val="00632A12"/>
    <w:rsid w:val="00632D3E"/>
    <w:rsid w:val="00632E0A"/>
    <w:rsid w:val="00633024"/>
    <w:rsid w:val="00633A45"/>
    <w:rsid w:val="00633AB3"/>
    <w:rsid w:val="00633C89"/>
    <w:rsid w:val="0063423E"/>
    <w:rsid w:val="00634289"/>
    <w:rsid w:val="00634412"/>
    <w:rsid w:val="006346AA"/>
    <w:rsid w:val="00634907"/>
    <w:rsid w:val="00634917"/>
    <w:rsid w:val="00634EC9"/>
    <w:rsid w:val="006351C8"/>
    <w:rsid w:val="00635256"/>
    <w:rsid w:val="00635789"/>
    <w:rsid w:val="00635860"/>
    <w:rsid w:val="00635934"/>
    <w:rsid w:val="00635E15"/>
    <w:rsid w:val="00636086"/>
    <w:rsid w:val="006362EB"/>
    <w:rsid w:val="00636641"/>
    <w:rsid w:val="00636917"/>
    <w:rsid w:val="00636A85"/>
    <w:rsid w:val="00636EB9"/>
    <w:rsid w:val="00636EE5"/>
    <w:rsid w:val="00637429"/>
    <w:rsid w:val="006376A4"/>
    <w:rsid w:val="00637ADD"/>
    <w:rsid w:val="00637BE1"/>
    <w:rsid w:val="00637D30"/>
    <w:rsid w:val="00637D46"/>
    <w:rsid w:val="0064028B"/>
    <w:rsid w:val="00640C64"/>
    <w:rsid w:val="0064107B"/>
    <w:rsid w:val="006411CA"/>
    <w:rsid w:val="00641396"/>
    <w:rsid w:val="006413BF"/>
    <w:rsid w:val="00641489"/>
    <w:rsid w:val="00641F1C"/>
    <w:rsid w:val="0064229B"/>
    <w:rsid w:val="00642863"/>
    <w:rsid w:val="00642866"/>
    <w:rsid w:val="006429FB"/>
    <w:rsid w:val="00643017"/>
    <w:rsid w:val="00643055"/>
    <w:rsid w:val="0064310A"/>
    <w:rsid w:val="006434BD"/>
    <w:rsid w:val="00643AA4"/>
    <w:rsid w:val="00643C67"/>
    <w:rsid w:val="00643F97"/>
    <w:rsid w:val="00644133"/>
    <w:rsid w:val="00644178"/>
    <w:rsid w:val="00644839"/>
    <w:rsid w:val="00644CDE"/>
    <w:rsid w:val="00644E64"/>
    <w:rsid w:val="00644FA8"/>
    <w:rsid w:val="006457CB"/>
    <w:rsid w:val="00645937"/>
    <w:rsid w:val="00645F4E"/>
    <w:rsid w:val="00646892"/>
    <w:rsid w:val="006468A0"/>
    <w:rsid w:val="006469D5"/>
    <w:rsid w:val="00646E6E"/>
    <w:rsid w:val="00646F3F"/>
    <w:rsid w:val="006471E3"/>
    <w:rsid w:val="00647212"/>
    <w:rsid w:val="0064726A"/>
    <w:rsid w:val="006473F7"/>
    <w:rsid w:val="00647426"/>
    <w:rsid w:val="00647458"/>
    <w:rsid w:val="00647823"/>
    <w:rsid w:val="00647F59"/>
    <w:rsid w:val="00647FA8"/>
    <w:rsid w:val="00650200"/>
    <w:rsid w:val="006502CC"/>
    <w:rsid w:val="00650338"/>
    <w:rsid w:val="006503CB"/>
    <w:rsid w:val="00650471"/>
    <w:rsid w:val="006504E8"/>
    <w:rsid w:val="00650528"/>
    <w:rsid w:val="00650C37"/>
    <w:rsid w:val="00650E94"/>
    <w:rsid w:val="0065118C"/>
    <w:rsid w:val="00651208"/>
    <w:rsid w:val="00651562"/>
    <w:rsid w:val="00651A42"/>
    <w:rsid w:val="00651B5F"/>
    <w:rsid w:val="00651C07"/>
    <w:rsid w:val="00651E91"/>
    <w:rsid w:val="00652131"/>
    <w:rsid w:val="0065231C"/>
    <w:rsid w:val="00652893"/>
    <w:rsid w:val="006530C9"/>
    <w:rsid w:val="00653248"/>
    <w:rsid w:val="0065364A"/>
    <w:rsid w:val="006538F3"/>
    <w:rsid w:val="0065390A"/>
    <w:rsid w:val="00653994"/>
    <w:rsid w:val="00654048"/>
    <w:rsid w:val="006543A4"/>
    <w:rsid w:val="00654C73"/>
    <w:rsid w:val="0065538D"/>
    <w:rsid w:val="006557D4"/>
    <w:rsid w:val="006559B7"/>
    <w:rsid w:val="00655D1D"/>
    <w:rsid w:val="00655EA8"/>
    <w:rsid w:val="00656273"/>
    <w:rsid w:val="0065643F"/>
    <w:rsid w:val="00657420"/>
    <w:rsid w:val="0065787A"/>
    <w:rsid w:val="00657A25"/>
    <w:rsid w:val="00657AFF"/>
    <w:rsid w:val="00657C7A"/>
    <w:rsid w:val="006600E5"/>
    <w:rsid w:val="00660157"/>
    <w:rsid w:val="00660606"/>
    <w:rsid w:val="006606A1"/>
    <w:rsid w:val="00660CE4"/>
    <w:rsid w:val="00660D13"/>
    <w:rsid w:val="00661614"/>
    <w:rsid w:val="0066166B"/>
    <w:rsid w:val="00661C3D"/>
    <w:rsid w:val="0066204C"/>
    <w:rsid w:val="006620A5"/>
    <w:rsid w:val="00662721"/>
    <w:rsid w:val="00662B12"/>
    <w:rsid w:val="00662E4D"/>
    <w:rsid w:val="00663007"/>
    <w:rsid w:val="00663110"/>
    <w:rsid w:val="00663639"/>
    <w:rsid w:val="00663964"/>
    <w:rsid w:val="006639F6"/>
    <w:rsid w:val="00663B29"/>
    <w:rsid w:val="00663BCB"/>
    <w:rsid w:val="00663E16"/>
    <w:rsid w:val="006640D6"/>
    <w:rsid w:val="00664356"/>
    <w:rsid w:val="0066437E"/>
    <w:rsid w:val="006653E3"/>
    <w:rsid w:val="00665599"/>
    <w:rsid w:val="00665696"/>
    <w:rsid w:val="00665E54"/>
    <w:rsid w:val="00665FE5"/>
    <w:rsid w:val="00666013"/>
    <w:rsid w:val="00666228"/>
    <w:rsid w:val="006669CB"/>
    <w:rsid w:val="00666AC3"/>
    <w:rsid w:val="00666BB3"/>
    <w:rsid w:val="00666CCE"/>
    <w:rsid w:val="00666D2B"/>
    <w:rsid w:val="00667380"/>
    <w:rsid w:val="00667566"/>
    <w:rsid w:val="0066767C"/>
    <w:rsid w:val="006677EF"/>
    <w:rsid w:val="00667C5C"/>
    <w:rsid w:val="00667E5D"/>
    <w:rsid w:val="00670421"/>
    <w:rsid w:val="00670559"/>
    <w:rsid w:val="006706BA"/>
    <w:rsid w:val="006707BD"/>
    <w:rsid w:val="00670884"/>
    <w:rsid w:val="00670A10"/>
    <w:rsid w:val="00670B00"/>
    <w:rsid w:val="00670B1F"/>
    <w:rsid w:val="00670B66"/>
    <w:rsid w:val="00670D91"/>
    <w:rsid w:val="00670DCE"/>
    <w:rsid w:val="00670F66"/>
    <w:rsid w:val="00671AC1"/>
    <w:rsid w:val="00671D79"/>
    <w:rsid w:val="00671FCA"/>
    <w:rsid w:val="00672719"/>
    <w:rsid w:val="006727B7"/>
    <w:rsid w:val="0067303E"/>
    <w:rsid w:val="0067336A"/>
    <w:rsid w:val="00673384"/>
    <w:rsid w:val="006735DC"/>
    <w:rsid w:val="0067370F"/>
    <w:rsid w:val="00673883"/>
    <w:rsid w:val="00673E93"/>
    <w:rsid w:val="006742C1"/>
    <w:rsid w:val="006746B3"/>
    <w:rsid w:val="00675125"/>
    <w:rsid w:val="00675CEE"/>
    <w:rsid w:val="00676006"/>
    <w:rsid w:val="006760ED"/>
    <w:rsid w:val="00676425"/>
    <w:rsid w:val="00676A54"/>
    <w:rsid w:val="00676C72"/>
    <w:rsid w:val="00676E0E"/>
    <w:rsid w:val="00676E1B"/>
    <w:rsid w:val="00676FE8"/>
    <w:rsid w:val="006772AE"/>
    <w:rsid w:val="00680045"/>
    <w:rsid w:val="0068030E"/>
    <w:rsid w:val="00680342"/>
    <w:rsid w:val="00680A3E"/>
    <w:rsid w:val="00680CA4"/>
    <w:rsid w:val="00681B98"/>
    <w:rsid w:val="00682235"/>
    <w:rsid w:val="0068250E"/>
    <w:rsid w:val="0068271E"/>
    <w:rsid w:val="00682B16"/>
    <w:rsid w:val="00682C29"/>
    <w:rsid w:val="00683E39"/>
    <w:rsid w:val="00683E60"/>
    <w:rsid w:val="006840A3"/>
    <w:rsid w:val="00684294"/>
    <w:rsid w:val="00684700"/>
    <w:rsid w:val="0068497A"/>
    <w:rsid w:val="00684A51"/>
    <w:rsid w:val="00684BF0"/>
    <w:rsid w:val="0068518F"/>
    <w:rsid w:val="006852D7"/>
    <w:rsid w:val="00685521"/>
    <w:rsid w:val="00685839"/>
    <w:rsid w:val="00685D10"/>
    <w:rsid w:val="006863AF"/>
    <w:rsid w:val="006865DC"/>
    <w:rsid w:val="006866B4"/>
    <w:rsid w:val="006868FD"/>
    <w:rsid w:val="00686AB9"/>
    <w:rsid w:val="00686C1F"/>
    <w:rsid w:val="00686D7D"/>
    <w:rsid w:val="00686E0B"/>
    <w:rsid w:val="00686E64"/>
    <w:rsid w:val="00687119"/>
    <w:rsid w:val="00687505"/>
    <w:rsid w:val="00687823"/>
    <w:rsid w:val="006879D8"/>
    <w:rsid w:val="00687A8C"/>
    <w:rsid w:val="00687E24"/>
    <w:rsid w:val="00687F09"/>
    <w:rsid w:val="00687F30"/>
    <w:rsid w:val="0069002E"/>
    <w:rsid w:val="0069025A"/>
    <w:rsid w:val="006909E9"/>
    <w:rsid w:val="00690AE8"/>
    <w:rsid w:val="00690D38"/>
    <w:rsid w:val="006910AD"/>
    <w:rsid w:val="00691132"/>
    <w:rsid w:val="006913DA"/>
    <w:rsid w:val="00691964"/>
    <w:rsid w:val="00691B6F"/>
    <w:rsid w:val="00692208"/>
    <w:rsid w:val="006923B2"/>
    <w:rsid w:val="0069271D"/>
    <w:rsid w:val="00692D39"/>
    <w:rsid w:val="00693005"/>
    <w:rsid w:val="0069349D"/>
    <w:rsid w:val="006936B6"/>
    <w:rsid w:val="006937BF"/>
    <w:rsid w:val="00693E02"/>
    <w:rsid w:val="006947E0"/>
    <w:rsid w:val="00694B22"/>
    <w:rsid w:val="00694B96"/>
    <w:rsid w:val="00694F26"/>
    <w:rsid w:val="006953C3"/>
    <w:rsid w:val="0069543D"/>
    <w:rsid w:val="00695708"/>
    <w:rsid w:val="00696029"/>
    <w:rsid w:val="00696236"/>
    <w:rsid w:val="006967C6"/>
    <w:rsid w:val="00696993"/>
    <w:rsid w:val="00696B72"/>
    <w:rsid w:val="00696E7D"/>
    <w:rsid w:val="00696EA2"/>
    <w:rsid w:val="00696F03"/>
    <w:rsid w:val="00696FB8"/>
    <w:rsid w:val="0069741F"/>
    <w:rsid w:val="0069768B"/>
    <w:rsid w:val="0069787B"/>
    <w:rsid w:val="006978BD"/>
    <w:rsid w:val="00697A6E"/>
    <w:rsid w:val="00697AA0"/>
    <w:rsid w:val="00697B02"/>
    <w:rsid w:val="00697D85"/>
    <w:rsid w:val="00697E14"/>
    <w:rsid w:val="006A093C"/>
    <w:rsid w:val="006A0A87"/>
    <w:rsid w:val="006A0BFB"/>
    <w:rsid w:val="006A1335"/>
    <w:rsid w:val="006A1678"/>
    <w:rsid w:val="006A170D"/>
    <w:rsid w:val="006A1BDD"/>
    <w:rsid w:val="006A1C94"/>
    <w:rsid w:val="006A1CA1"/>
    <w:rsid w:val="006A1F8C"/>
    <w:rsid w:val="006A2056"/>
    <w:rsid w:val="006A2079"/>
    <w:rsid w:val="006A274B"/>
    <w:rsid w:val="006A2842"/>
    <w:rsid w:val="006A2CB2"/>
    <w:rsid w:val="006A2F16"/>
    <w:rsid w:val="006A3162"/>
    <w:rsid w:val="006A32B3"/>
    <w:rsid w:val="006A332E"/>
    <w:rsid w:val="006A3CA9"/>
    <w:rsid w:val="006A3CB0"/>
    <w:rsid w:val="006A3EAF"/>
    <w:rsid w:val="006A4142"/>
    <w:rsid w:val="006A485C"/>
    <w:rsid w:val="006A53A5"/>
    <w:rsid w:val="006A5A4F"/>
    <w:rsid w:val="006A5FA7"/>
    <w:rsid w:val="006A6827"/>
    <w:rsid w:val="006A6F7B"/>
    <w:rsid w:val="006A701F"/>
    <w:rsid w:val="006A71DB"/>
    <w:rsid w:val="006A738C"/>
    <w:rsid w:val="006A7632"/>
    <w:rsid w:val="006B0052"/>
    <w:rsid w:val="006B00F8"/>
    <w:rsid w:val="006B0600"/>
    <w:rsid w:val="006B09AF"/>
    <w:rsid w:val="006B0A98"/>
    <w:rsid w:val="006B0BD4"/>
    <w:rsid w:val="006B14D6"/>
    <w:rsid w:val="006B17EA"/>
    <w:rsid w:val="006B232A"/>
    <w:rsid w:val="006B276F"/>
    <w:rsid w:val="006B2776"/>
    <w:rsid w:val="006B295B"/>
    <w:rsid w:val="006B3062"/>
    <w:rsid w:val="006B368A"/>
    <w:rsid w:val="006B3B79"/>
    <w:rsid w:val="006B3F99"/>
    <w:rsid w:val="006B446F"/>
    <w:rsid w:val="006B4A58"/>
    <w:rsid w:val="006B4B2A"/>
    <w:rsid w:val="006B4B56"/>
    <w:rsid w:val="006B4E6B"/>
    <w:rsid w:val="006B4EB8"/>
    <w:rsid w:val="006B51C6"/>
    <w:rsid w:val="006B5272"/>
    <w:rsid w:val="006B5451"/>
    <w:rsid w:val="006B5AFF"/>
    <w:rsid w:val="006B5C1D"/>
    <w:rsid w:val="006B5EB2"/>
    <w:rsid w:val="006B61E3"/>
    <w:rsid w:val="006B63F7"/>
    <w:rsid w:val="006B69F4"/>
    <w:rsid w:val="006B6A8F"/>
    <w:rsid w:val="006B6D82"/>
    <w:rsid w:val="006B7628"/>
    <w:rsid w:val="006B799F"/>
    <w:rsid w:val="006B7ADB"/>
    <w:rsid w:val="006C0176"/>
    <w:rsid w:val="006C0A31"/>
    <w:rsid w:val="006C0A58"/>
    <w:rsid w:val="006C0D50"/>
    <w:rsid w:val="006C0F04"/>
    <w:rsid w:val="006C13F9"/>
    <w:rsid w:val="006C1BE5"/>
    <w:rsid w:val="006C1DA6"/>
    <w:rsid w:val="006C1E51"/>
    <w:rsid w:val="006C1E5F"/>
    <w:rsid w:val="006C206D"/>
    <w:rsid w:val="006C226F"/>
    <w:rsid w:val="006C2292"/>
    <w:rsid w:val="006C2499"/>
    <w:rsid w:val="006C24FA"/>
    <w:rsid w:val="006C2712"/>
    <w:rsid w:val="006C29F2"/>
    <w:rsid w:val="006C317D"/>
    <w:rsid w:val="006C3241"/>
    <w:rsid w:val="006C3951"/>
    <w:rsid w:val="006C3C30"/>
    <w:rsid w:val="006C3CF9"/>
    <w:rsid w:val="006C4138"/>
    <w:rsid w:val="006C42FF"/>
    <w:rsid w:val="006C45DC"/>
    <w:rsid w:val="006C4D3B"/>
    <w:rsid w:val="006C4E74"/>
    <w:rsid w:val="006C5601"/>
    <w:rsid w:val="006C5619"/>
    <w:rsid w:val="006C569B"/>
    <w:rsid w:val="006C5B7D"/>
    <w:rsid w:val="006C6BD6"/>
    <w:rsid w:val="006C6C98"/>
    <w:rsid w:val="006C6F27"/>
    <w:rsid w:val="006C73DF"/>
    <w:rsid w:val="006C7708"/>
    <w:rsid w:val="006C7838"/>
    <w:rsid w:val="006D0671"/>
    <w:rsid w:val="006D0755"/>
    <w:rsid w:val="006D0819"/>
    <w:rsid w:val="006D0F56"/>
    <w:rsid w:val="006D1D88"/>
    <w:rsid w:val="006D22A0"/>
    <w:rsid w:val="006D30C9"/>
    <w:rsid w:val="006D311F"/>
    <w:rsid w:val="006D3229"/>
    <w:rsid w:val="006D35AC"/>
    <w:rsid w:val="006D3672"/>
    <w:rsid w:val="006D3705"/>
    <w:rsid w:val="006D3C98"/>
    <w:rsid w:val="006D3E13"/>
    <w:rsid w:val="006D3E5C"/>
    <w:rsid w:val="006D3F68"/>
    <w:rsid w:val="006D41D2"/>
    <w:rsid w:val="006D4444"/>
    <w:rsid w:val="006D4737"/>
    <w:rsid w:val="006D52C9"/>
    <w:rsid w:val="006D55CD"/>
    <w:rsid w:val="006D5871"/>
    <w:rsid w:val="006D5A76"/>
    <w:rsid w:val="006D681F"/>
    <w:rsid w:val="006D6A61"/>
    <w:rsid w:val="006D6B83"/>
    <w:rsid w:val="006D6BA0"/>
    <w:rsid w:val="006D7333"/>
    <w:rsid w:val="006D7524"/>
    <w:rsid w:val="006D7D45"/>
    <w:rsid w:val="006E024A"/>
    <w:rsid w:val="006E0563"/>
    <w:rsid w:val="006E066B"/>
    <w:rsid w:val="006E09C7"/>
    <w:rsid w:val="006E10C4"/>
    <w:rsid w:val="006E16A3"/>
    <w:rsid w:val="006E1CCD"/>
    <w:rsid w:val="006E1D23"/>
    <w:rsid w:val="006E1DD7"/>
    <w:rsid w:val="006E227F"/>
    <w:rsid w:val="006E29EB"/>
    <w:rsid w:val="006E2D3B"/>
    <w:rsid w:val="006E2E10"/>
    <w:rsid w:val="006E2E84"/>
    <w:rsid w:val="006E30E1"/>
    <w:rsid w:val="006E3562"/>
    <w:rsid w:val="006E35DE"/>
    <w:rsid w:val="006E38C9"/>
    <w:rsid w:val="006E397F"/>
    <w:rsid w:val="006E3AC1"/>
    <w:rsid w:val="006E425A"/>
    <w:rsid w:val="006E44B6"/>
    <w:rsid w:val="006E44E6"/>
    <w:rsid w:val="006E46EE"/>
    <w:rsid w:val="006E471D"/>
    <w:rsid w:val="006E4813"/>
    <w:rsid w:val="006E4835"/>
    <w:rsid w:val="006E4A2E"/>
    <w:rsid w:val="006E5439"/>
    <w:rsid w:val="006E5765"/>
    <w:rsid w:val="006E583E"/>
    <w:rsid w:val="006E5946"/>
    <w:rsid w:val="006E5D3F"/>
    <w:rsid w:val="006E602D"/>
    <w:rsid w:val="006E6488"/>
    <w:rsid w:val="006E6889"/>
    <w:rsid w:val="006E6992"/>
    <w:rsid w:val="006E6CAC"/>
    <w:rsid w:val="006E6D6B"/>
    <w:rsid w:val="006E6FDA"/>
    <w:rsid w:val="006E70C9"/>
    <w:rsid w:val="006E720B"/>
    <w:rsid w:val="006E72C4"/>
    <w:rsid w:val="006E748E"/>
    <w:rsid w:val="006E75B9"/>
    <w:rsid w:val="006E78CA"/>
    <w:rsid w:val="006E79CD"/>
    <w:rsid w:val="006E79E9"/>
    <w:rsid w:val="006E7C53"/>
    <w:rsid w:val="006F056E"/>
    <w:rsid w:val="006F0584"/>
    <w:rsid w:val="006F083B"/>
    <w:rsid w:val="006F0AC1"/>
    <w:rsid w:val="006F0B29"/>
    <w:rsid w:val="006F0F12"/>
    <w:rsid w:val="006F10A1"/>
    <w:rsid w:val="006F10B5"/>
    <w:rsid w:val="006F16A1"/>
    <w:rsid w:val="006F1CFD"/>
    <w:rsid w:val="006F1E78"/>
    <w:rsid w:val="006F1F50"/>
    <w:rsid w:val="006F1F64"/>
    <w:rsid w:val="006F2291"/>
    <w:rsid w:val="006F23EC"/>
    <w:rsid w:val="006F270E"/>
    <w:rsid w:val="006F2825"/>
    <w:rsid w:val="006F2A58"/>
    <w:rsid w:val="006F2CFB"/>
    <w:rsid w:val="006F2D99"/>
    <w:rsid w:val="006F3586"/>
    <w:rsid w:val="006F37AE"/>
    <w:rsid w:val="006F3C9B"/>
    <w:rsid w:val="006F3D17"/>
    <w:rsid w:val="006F3E15"/>
    <w:rsid w:val="006F3ED0"/>
    <w:rsid w:val="006F41FE"/>
    <w:rsid w:val="006F46D0"/>
    <w:rsid w:val="006F4A4C"/>
    <w:rsid w:val="006F4EBD"/>
    <w:rsid w:val="006F544A"/>
    <w:rsid w:val="006F5B40"/>
    <w:rsid w:val="006F5BCE"/>
    <w:rsid w:val="006F6180"/>
    <w:rsid w:val="006F61CC"/>
    <w:rsid w:val="006F620C"/>
    <w:rsid w:val="006F643D"/>
    <w:rsid w:val="006F6635"/>
    <w:rsid w:val="006F68DA"/>
    <w:rsid w:val="006F6C5C"/>
    <w:rsid w:val="006F6E87"/>
    <w:rsid w:val="006F6F3E"/>
    <w:rsid w:val="006F70DB"/>
    <w:rsid w:val="006F7B0F"/>
    <w:rsid w:val="006F7D93"/>
    <w:rsid w:val="006F7F88"/>
    <w:rsid w:val="0070050F"/>
    <w:rsid w:val="007005A9"/>
    <w:rsid w:val="0070075F"/>
    <w:rsid w:val="007007E3"/>
    <w:rsid w:val="00700992"/>
    <w:rsid w:val="007009BB"/>
    <w:rsid w:val="007013E8"/>
    <w:rsid w:val="0070172B"/>
    <w:rsid w:val="00701785"/>
    <w:rsid w:val="007018E3"/>
    <w:rsid w:val="00701CB4"/>
    <w:rsid w:val="00701EC9"/>
    <w:rsid w:val="00701F80"/>
    <w:rsid w:val="007022BA"/>
    <w:rsid w:val="00702694"/>
    <w:rsid w:val="007028DC"/>
    <w:rsid w:val="00702933"/>
    <w:rsid w:val="0070316C"/>
    <w:rsid w:val="007031AB"/>
    <w:rsid w:val="0070369F"/>
    <w:rsid w:val="0070377D"/>
    <w:rsid w:val="00703780"/>
    <w:rsid w:val="00703CD8"/>
    <w:rsid w:val="007040DE"/>
    <w:rsid w:val="007043AF"/>
    <w:rsid w:val="007046CC"/>
    <w:rsid w:val="00704715"/>
    <w:rsid w:val="00705AE6"/>
    <w:rsid w:val="00705C85"/>
    <w:rsid w:val="00705DB7"/>
    <w:rsid w:val="00705F47"/>
    <w:rsid w:val="00705FCD"/>
    <w:rsid w:val="00706418"/>
    <w:rsid w:val="00706479"/>
    <w:rsid w:val="007066BF"/>
    <w:rsid w:val="0070696F"/>
    <w:rsid w:val="00706BB6"/>
    <w:rsid w:val="0070738B"/>
    <w:rsid w:val="00707556"/>
    <w:rsid w:val="00707812"/>
    <w:rsid w:val="00707FCF"/>
    <w:rsid w:val="0071016E"/>
    <w:rsid w:val="0071019D"/>
    <w:rsid w:val="007101DE"/>
    <w:rsid w:val="0071079D"/>
    <w:rsid w:val="007107F0"/>
    <w:rsid w:val="007108E0"/>
    <w:rsid w:val="00710AC4"/>
    <w:rsid w:val="00711161"/>
    <w:rsid w:val="00711394"/>
    <w:rsid w:val="007120B1"/>
    <w:rsid w:val="0071232F"/>
    <w:rsid w:val="00712803"/>
    <w:rsid w:val="00712E9C"/>
    <w:rsid w:val="0071334C"/>
    <w:rsid w:val="007133F7"/>
    <w:rsid w:val="00713A21"/>
    <w:rsid w:val="00714574"/>
    <w:rsid w:val="007146AC"/>
    <w:rsid w:val="0071473A"/>
    <w:rsid w:val="0071492E"/>
    <w:rsid w:val="00714AB0"/>
    <w:rsid w:val="00714D82"/>
    <w:rsid w:val="00715135"/>
    <w:rsid w:val="007153AD"/>
    <w:rsid w:val="007154BA"/>
    <w:rsid w:val="007155B3"/>
    <w:rsid w:val="007157F0"/>
    <w:rsid w:val="007158CA"/>
    <w:rsid w:val="00715CBF"/>
    <w:rsid w:val="00715E9D"/>
    <w:rsid w:val="00716232"/>
    <w:rsid w:val="00716399"/>
    <w:rsid w:val="0071685E"/>
    <w:rsid w:val="00716D3E"/>
    <w:rsid w:val="00716D89"/>
    <w:rsid w:val="00717740"/>
    <w:rsid w:val="00717765"/>
    <w:rsid w:val="00717A39"/>
    <w:rsid w:val="00717AAD"/>
    <w:rsid w:val="00717DB8"/>
    <w:rsid w:val="0072067E"/>
    <w:rsid w:val="0072068F"/>
    <w:rsid w:val="00720802"/>
    <w:rsid w:val="00720820"/>
    <w:rsid w:val="00720900"/>
    <w:rsid w:val="007209D7"/>
    <w:rsid w:val="007209F1"/>
    <w:rsid w:val="007215AA"/>
    <w:rsid w:val="007219F6"/>
    <w:rsid w:val="0072248D"/>
    <w:rsid w:val="00722761"/>
    <w:rsid w:val="00722792"/>
    <w:rsid w:val="007227F9"/>
    <w:rsid w:val="00722C9B"/>
    <w:rsid w:val="00724203"/>
    <w:rsid w:val="007243A6"/>
    <w:rsid w:val="007244BF"/>
    <w:rsid w:val="007248E1"/>
    <w:rsid w:val="0072569C"/>
    <w:rsid w:val="00725B59"/>
    <w:rsid w:val="00726170"/>
    <w:rsid w:val="007265DD"/>
    <w:rsid w:val="00726966"/>
    <w:rsid w:val="00726B86"/>
    <w:rsid w:val="00726E0F"/>
    <w:rsid w:val="00726FC6"/>
    <w:rsid w:val="007277E8"/>
    <w:rsid w:val="00727853"/>
    <w:rsid w:val="00727C06"/>
    <w:rsid w:val="007303F7"/>
    <w:rsid w:val="00730A7E"/>
    <w:rsid w:val="00730B3B"/>
    <w:rsid w:val="00730CFD"/>
    <w:rsid w:val="007315ED"/>
    <w:rsid w:val="00731639"/>
    <w:rsid w:val="007319CC"/>
    <w:rsid w:val="00731C66"/>
    <w:rsid w:val="00731D36"/>
    <w:rsid w:val="00731FBD"/>
    <w:rsid w:val="00732935"/>
    <w:rsid w:val="00732C07"/>
    <w:rsid w:val="00732DD3"/>
    <w:rsid w:val="0073355E"/>
    <w:rsid w:val="00733573"/>
    <w:rsid w:val="00733744"/>
    <w:rsid w:val="0073376C"/>
    <w:rsid w:val="00733A5F"/>
    <w:rsid w:val="00733B8A"/>
    <w:rsid w:val="00733D1D"/>
    <w:rsid w:val="0073416A"/>
    <w:rsid w:val="00734178"/>
    <w:rsid w:val="00734852"/>
    <w:rsid w:val="00734950"/>
    <w:rsid w:val="00734BAC"/>
    <w:rsid w:val="00734E59"/>
    <w:rsid w:val="007350D0"/>
    <w:rsid w:val="007351F8"/>
    <w:rsid w:val="00735667"/>
    <w:rsid w:val="007356AC"/>
    <w:rsid w:val="007359BC"/>
    <w:rsid w:val="00735D17"/>
    <w:rsid w:val="0073607F"/>
    <w:rsid w:val="0073639A"/>
    <w:rsid w:val="007368A9"/>
    <w:rsid w:val="00736FB7"/>
    <w:rsid w:val="00737177"/>
    <w:rsid w:val="007372AC"/>
    <w:rsid w:val="00737656"/>
    <w:rsid w:val="0073785A"/>
    <w:rsid w:val="00737876"/>
    <w:rsid w:val="00737A7C"/>
    <w:rsid w:val="00737AE6"/>
    <w:rsid w:val="00740016"/>
    <w:rsid w:val="00740328"/>
    <w:rsid w:val="00740FD4"/>
    <w:rsid w:val="00740FD6"/>
    <w:rsid w:val="007412F7"/>
    <w:rsid w:val="00741455"/>
    <w:rsid w:val="00741708"/>
    <w:rsid w:val="00741BA1"/>
    <w:rsid w:val="00741DD0"/>
    <w:rsid w:val="0074231A"/>
    <w:rsid w:val="00742343"/>
    <w:rsid w:val="00742401"/>
    <w:rsid w:val="00742CED"/>
    <w:rsid w:val="0074317E"/>
    <w:rsid w:val="0074328D"/>
    <w:rsid w:val="00743A07"/>
    <w:rsid w:val="00743BAE"/>
    <w:rsid w:val="00743C0F"/>
    <w:rsid w:val="00743DA8"/>
    <w:rsid w:val="00743ED3"/>
    <w:rsid w:val="007440B8"/>
    <w:rsid w:val="00744172"/>
    <w:rsid w:val="007442E3"/>
    <w:rsid w:val="00745141"/>
    <w:rsid w:val="0074517E"/>
    <w:rsid w:val="00745186"/>
    <w:rsid w:val="00745492"/>
    <w:rsid w:val="0074554B"/>
    <w:rsid w:val="007467F6"/>
    <w:rsid w:val="00746E7F"/>
    <w:rsid w:val="00746F9C"/>
    <w:rsid w:val="00747289"/>
    <w:rsid w:val="00747B3E"/>
    <w:rsid w:val="007500FF"/>
    <w:rsid w:val="0075024E"/>
    <w:rsid w:val="00750A05"/>
    <w:rsid w:val="0075159B"/>
    <w:rsid w:val="00751AE3"/>
    <w:rsid w:val="007520D7"/>
    <w:rsid w:val="007528F0"/>
    <w:rsid w:val="00752944"/>
    <w:rsid w:val="00752AD8"/>
    <w:rsid w:val="00752ECA"/>
    <w:rsid w:val="00753117"/>
    <w:rsid w:val="007537D5"/>
    <w:rsid w:val="00753855"/>
    <w:rsid w:val="00753B39"/>
    <w:rsid w:val="00754162"/>
    <w:rsid w:val="007542F7"/>
    <w:rsid w:val="00754417"/>
    <w:rsid w:val="00754A6A"/>
    <w:rsid w:val="00754CDE"/>
    <w:rsid w:val="00754F41"/>
    <w:rsid w:val="00755442"/>
    <w:rsid w:val="00755A00"/>
    <w:rsid w:val="00756113"/>
    <w:rsid w:val="00756698"/>
    <w:rsid w:val="00756921"/>
    <w:rsid w:val="00757AB0"/>
    <w:rsid w:val="00757BDC"/>
    <w:rsid w:val="00757D48"/>
    <w:rsid w:val="00760256"/>
    <w:rsid w:val="0076027F"/>
    <w:rsid w:val="00760289"/>
    <w:rsid w:val="00760577"/>
    <w:rsid w:val="00760612"/>
    <w:rsid w:val="00760620"/>
    <w:rsid w:val="0076107C"/>
    <w:rsid w:val="00761311"/>
    <w:rsid w:val="00761447"/>
    <w:rsid w:val="00761A8E"/>
    <w:rsid w:val="00761B18"/>
    <w:rsid w:val="00761BB7"/>
    <w:rsid w:val="00761D01"/>
    <w:rsid w:val="00761DDC"/>
    <w:rsid w:val="00761F13"/>
    <w:rsid w:val="00762177"/>
    <w:rsid w:val="00762323"/>
    <w:rsid w:val="00762A57"/>
    <w:rsid w:val="00762A95"/>
    <w:rsid w:val="00763124"/>
    <w:rsid w:val="007637F3"/>
    <w:rsid w:val="00763A28"/>
    <w:rsid w:val="00763B6C"/>
    <w:rsid w:val="00764677"/>
    <w:rsid w:val="007649A9"/>
    <w:rsid w:val="00764ADB"/>
    <w:rsid w:val="00764F2E"/>
    <w:rsid w:val="007657F9"/>
    <w:rsid w:val="00765D49"/>
    <w:rsid w:val="00765DE6"/>
    <w:rsid w:val="00766001"/>
    <w:rsid w:val="007663D7"/>
    <w:rsid w:val="00767126"/>
    <w:rsid w:val="0076781A"/>
    <w:rsid w:val="007678F8"/>
    <w:rsid w:val="00767ACE"/>
    <w:rsid w:val="00767FC7"/>
    <w:rsid w:val="007709D9"/>
    <w:rsid w:val="00770C78"/>
    <w:rsid w:val="00770F73"/>
    <w:rsid w:val="0077142B"/>
    <w:rsid w:val="0077150F"/>
    <w:rsid w:val="0077163D"/>
    <w:rsid w:val="00771B0D"/>
    <w:rsid w:val="00771CE3"/>
    <w:rsid w:val="00771D9D"/>
    <w:rsid w:val="00771F68"/>
    <w:rsid w:val="00771FCC"/>
    <w:rsid w:val="00772013"/>
    <w:rsid w:val="007724DD"/>
    <w:rsid w:val="00772596"/>
    <w:rsid w:val="007729CC"/>
    <w:rsid w:val="00772D60"/>
    <w:rsid w:val="00773275"/>
    <w:rsid w:val="007732AD"/>
    <w:rsid w:val="00773512"/>
    <w:rsid w:val="00773A79"/>
    <w:rsid w:val="00773A91"/>
    <w:rsid w:val="00773F18"/>
    <w:rsid w:val="00774093"/>
    <w:rsid w:val="007743E6"/>
    <w:rsid w:val="00774C2D"/>
    <w:rsid w:val="00774FCB"/>
    <w:rsid w:val="00775023"/>
    <w:rsid w:val="0077507B"/>
    <w:rsid w:val="00775397"/>
    <w:rsid w:val="00775598"/>
    <w:rsid w:val="00775C16"/>
    <w:rsid w:val="00776119"/>
    <w:rsid w:val="007761F7"/>
    <w:rsid w:val="0077643B"/>
    <w:rsid w:val="007766C1"/>
    <w:rsid w:val="007768D8"/>
    <w:rsid w:val="00776F95"/>
    <w:rsid w:val="00777230"/>
    <w:rsid w:val="0077789D"/>
    <w:rsid w:val="0077798F"/>
    <w:rsid w:val="00780109"/>
    <w:rsid w:val="007802E6"/>
    <w:rsid w:val="007804AE"/>
    <w:rsid w:val="00780871"/>
    <w:rsid w:val="007808F6"/>
    <w:rsid w:val="007809D8"/>
    <w:rsid w:val="00780A3C"/>
    <w:rsid w:val="00780CB4"/>
    <w:rsid w:val="00780DE6"/>
    <w:rsid w:val="00780F62"/>
    <w:rsid w:val="00781288"/>
    <w:rsid w:val="0078136B"/>
    <w:rsid w:val="007814B1"/>
    <w:rsid w:val="00781583"/>
    <w:rsid w:val="00781942"/>
    <w:rsid w:val="007825E2"/>
    <w:rsid w:val="007828D7"/>
    <w:rsid w:val="007829EA"/>
    <w:rsid w:val="00782A56"/>
    <w:rsid w:val="00782B75"/>
    <w:rsid w:val="00782CCC"/>
    <w:rsid w:val="00782EA5"/>
    <w:rsid w:val="0078362B"/>
    <w:rsid w:val="007838B4"/>
    <w:rsid w:val="00783994"/>
    <w:rsid w:val="00783B2E"/>
    <w:rsid w:val="0078412C"/>
    <w:rsid w:val="00784168"/>
    <w:rsid w:val="00785163"/>
    <w:rsid w:val="007853AB"/>
    <w:rsid w:val="00785625"/>
    <w:rsid w:val="007856A2"/>
    <w:rsid w:val="007858EC"/>
    <w:rsid w:val="00785CC0"/>
    <w:rsid w:val="00785E99"/>
    <w:rsid w:val="00786157"/>
    <w:rsid w:val="0078638E"/>
    <w:rsid w:val="0078643A"/>
    <w:rsid w:val="00786781"/>
    <w:rsid w:val="007867D5"/>
    <w:rsid w:val="00786DAC"/>
    <w:rsid w:val="00786F9F"/>
    <w:rsid w:val="007871C2"/>
    <w:rsid w:val="0078759C"/>
    <w:rsid w:val="007875BC"/>
    <w:rsid w:val="007876E9"/>
    <w:rsid w:val="007878AD"/>
    <w:rsid w:val="007904A1"/>
    <w:rsid w:val="00790B24"/>
    <w:rsid w:val="00790E42"/>
    <w:rsid w:val="00791E0F"/>
    <w:rsid w:val="00792086"/>
    <w:rsid w:val="007924EE"/>
    <w:rsid w:val="0079259E"/>
    <w:rsid w:val="0079268A"/>
    <w:rsid w:val="007926C1"/>
    <w:rsid w:val="0079282C"/>
    <w:rsid w:val="00792BBD"/>
    <w:rsid w:val="007933EE"/>
    <w:rsid w:val="007934CA"/>
    <w:rsid w:val="007938A0"/>
    <w:rsid w:val="007939E6"/>
    <w:rsid w:val="00793C41"/>
    <w:rsid w:val="00793E37"/>
    <w:rsid w:val="007940FC"/>
    <w:rsid w:val="00794797"/>
    <w:rsid w:val="00794D8D"/>
    <w:rsid w:val="007952AA"/>
    <w:rsid w:val="0079587E"/>
    <w:rsid w:val="00796164"/>
    <w:rsid w:val="007964F3"/>
    <w:rsid w:val="0079665D"/>
    <w:rsid w:val="007966A5"/>
    <w:rsid w:val="00796737"/>
    <w:rsid w:val="00796FAB"/>
    <w:rsid w:val="00797197"/>
    <w:rsid w:val="007973F0"/>
    <w:rsid w:val="0079742A"/>
    <w:rsid w:val="0079758D"/>
    <w:rsid w:val="00797606"/>
    <w:rsid w:val="00797662"/>
    <w:rsid w:val="0079772D"/>
    <w:rsid w:val="00797E31"/>
    <w:rsid w:val="007A021C"/>
    <w:rsid w:val="007A0259"/>
    <w:rsid w:val="007A03FD"/>
    <w:rsid w:val="007A0610"/>
    <w:rsid w:val="007A0AA0"/>
    <w:rsid w:val="007A0C12"/>
    <w:rsid w:val="007A1185"/>
    <w:rsid w:val="007A18E9"/>
    <w:rsid w:val="007A1BEF"/>
    <w:rsid w:val="007A1FCD"/>
    <w:rsid w:val="007A2276"/>
    <w:rsid w:val="007A2762"/>
    <w:rsid w:val="007A29EA"/>
    <w:rsid w:val="007A2EC4"/>
    <w:rsid w:val="007A2F25"/>
    <w:rsid w:val="007A2F45"/>
    <w:rsid w:val="007A37A4"/>
    <w:rsid w:val="007A3A4F"/>
    <w:rsid w:val="007A3A7C"/>
    <w:rsid w:val="007A3B7A"/>
    <w:rsid w:val="007A3C30"/>
    <w:rsid w:val="007A4164"/>
    <w:rsid w:val="007A4681"/>
    <w:rsid w:val="007A473D"/>
    <w:rsid w:val="007A48DB"/>
    <w:rsid w:val="007A4A49"/>
    <w:rsid w:val="007A4D98"/>
    <w:rsid w:val="007A4DF8"/>
    <w:rsid w:val="007A5035"/>
    <w:rsid w:val="007A5288"/>
    <w:rsid w:val="007A560C"/>
    <w:rsid w:val="007A564C"/>
    <w:rsid w:val="007A5A8F"/>
    <w:rsid w:val="007A61B1"/>
    <w:rsid w:val="007A61EC"/>
    <w:rsid w:val="007A64DD"/>
    <w:rsid w:val="007A6608"/>
    <w:rsid w:val="007A6D83"/>
    <w:rsid w:val="007A72EB"/>
    <w:rsid w:val="007A7761"/>
    <w:rsid w:val="007A7AFD"/>
    <w:rsid w:val="007A7D62"/>
    <w:rsid w:val="007A7EE8"/>
    <w:rsid w:val="007A7F09"/>
    <w:rsid w:val="007B0257"/>
    <w:rsid w:val="007B0AF3"/>
    <w:rsid w:val="007B0AF4"/>
    <w:rsid w:val="007B0B17"/>
    <w:rsid w:val="007B0D63"/>
    <w:rsid w:val="007B0E39"/>
    <w:rsid w:val="007B11EE"/>
    <w:rsid w:val="007B1747"/>
    <w:rsid w:val="007B1FDE"/>
    <w:rsid w:val="007B2410"/>
    <w:rsid w:val="007B2651"/>
    <w:rsid w:val="007B2866"/>
    <w:rsid w:val="007B2E5B"/>
    <w:rsid w:val="007B312C"/>
    <w:rsid w:val="007B31D0"/>
    <w:rsid w:val="007B32F1"/>
    <w:rsid w:val="007B36BD"/>
    <w:rsid w:val="007B3942"/>
    <w:rsid w:val="007B3961"/>
    <w:rsid w:val="007B3F97"/>
    <w:rsid w:val="007B41C4"/>
    <w:rsid w:val="007B4705"/>
    <w:rsid w:val="007B47ED"/>
    <w:rsid w:val="007B4E61"/>
    <w:rsid w:val="007B532D"/>
    <w:rsid w:val="007B57CE"/>
    <w:rsid w:val="007B5BF9"/>
    <w:rsid w:val="007B60BC"/>
    <w:rsid w:val="007B62F0"/>
    <w:rsid w:val="007B6CA9"/>
    <w:rsid w:val="007B7AC1"/>
    <w:rsid w:val="007C0341"/>
    <w:rsid w:val="007C048C"/>
    <w:rsid w:val="007C04B0"/>
    <w:rsid w:val="007C066E"/>
    <w:rsid w:val="007C0915"/>
    <w:rsid w:val="007C10B1"/>
    <w:rsid w:val="007C119C"/>
    <w:rsid w:val="007C124D"/>
    <w:rsid w:val="007C137F"/>
    <w:rsid w:val="007C1429"/>
    <w:rsid w:val="007C17E2"/>
    <w:rsid w:val="007C196B"/>
    <w:rsid w:val="007C1C33"/>
    <w:rsid w:val="007C1CD1"/>
    <w:rsid w:val="007C1F9D"/>
    <w:rsid w:val="007C225C"/>
    <w:rsid w:val="007C22AD"/>
    <w:rsid w:val="007C24A8"/>
    <w:rsid w:val="007C25D6"/>
    <w:rsid w:val="007C27EB"/>
    <w:rsid w:val="007C2E90"/>
    <w:rsid w:val="007C33AF"/>
    <w:rsid w:val="007C3EDD"/>
    <w:rsid w:val="007C490A"/>
    <w:rsid w:val="007C4A0B"/>
    <w:rsid w:val="007C4D32"/>
    <w:rsid w:val="007C4DE7"/>
    <w:rsid w:val="007C502F"/>
    <w:rsid w:val="007C5311"/>
    <w:rsid w:val="007C5425"/>
    <w:rsid w:val="007C5513"/>
    <w:rsid w:val="007C5BDF"/>
    <w:rsid w:val="007C5E8C"/>
    <w:rsid w:val="007C5F0B"/>
    <w:rsid w:val="007C6287"/>
    <w:rsid w:val="007C63BB"/>
    <w:rsid w:val="007C6526"/>
    <w:rsid w:val="007C6566"/>
    <w:rsid w:val="007C6851"/>
    <w:rsid w:val="007C6913"/>
    <w:rsid w:val="007C6B5B"/>
    <w:rsid w:val="007C6FEA"/>
    <w:rsid w:val="007C7109"/>
    <w:rsid w:val="007C7508"/>
    <w:rsid w:val="007C7776"/>
    <w:rsid w:val="007C79CA"/>
    <w:rsid w:val="007C7B13"/>
    <w:rsid w:val="007C7C76"/>
    <w:rsid w:val="007C7FEE"/>
    <w:rsid w:val="007D0170"/>
    <w:rsid w:val="007D06D0"/>
    <w:rsid w:val="007D0924"/>
    <w:rsid w:val="007D0979"/>
    <w:rsid w:val="007D09AA"/>
    <w:rsid w:val="007D0B99"/>
    <w:rsid w:val="007D1275"/>
    <w:rsid w:val="007D1652"/>
    <w:rsid w:val="007D16A6"/>
    <w:rsid w:val="007D17B5"/>
    <w:rsid w:val="007D1C33"/>
    <w:rsid w:val="007D2008"/>
    <w:rsid w:val="007D224B"/>
    <w:rsid w:val="007D247F"/>
    <w:rsid w:val="007D249E"/>
    <w:rsid w:val="007D2D05"/>
    <w:rsid w:val="007D2F7A"/>
    <w:rsid w:val="007D314E"/>
    <w:rsid w:val="007D331F"/>
    <w:rsid w:val="007D38FF"/>
    <w:rsid w:val="007D3E33"/>
    <w:rsid w:val="007D401D"/>
    <w:rsid w:val="007D470A"/>
    <w:rsid w:val="007D475E"/>
    <w:rsid w:val="007D49A3"/>
    <w:rsid w:val="007D4F3C"/>
    <w:rsid w:val="007D5A90"/>
    <w:rsid w:val="007D5B5A"/>
    <w:rsid w:val="007D6299"/>
    <w:rsid w:val="007D7370"/>
    <w:rsid w:val="007D743D"/>
    <w:rsid w:val="007D7860"/>
    <w:rsid w:val="007D79CD"/>
    <w:rsid w:val="007D7A25"/>
    <w:rsid w:val="007D7A89"/>
    <w:rsid w:val="007D7F91"/>
    <w:rsid w:val="007E0312"/>
    <w:rsid w:val="007E0530"/>
    <w:rsid w:val="007E053C"/>
    <w:rsid w:val="007E0567"/>
    <w:rsid w:val="007E09FD"/>
    <w:rsid w:val="007E0EBC"/>
    <w:rsid w:val="007E0F66"/>
    <w:rsid w:val="007E1924"/>
    <w:rsid w:val="007E1A00"/>
    <w:rsid w:val="007E1E15"/>
    <w:rsid w:val="007E1F97"/>
    <w:rsid w:val="007E20DC"/>
    <w:rsid w:val="007E2552"/>
    <w:rsid w:val="007E2A72"/>
    <w:rsid w:val="007E2EAA"/>
    <w:rsid w:val="007E304F"/>
    <w:rsid w:val="007E3050"/>
    <w:rsid w:val="007E3BA0"/>
    <w:rsid w:val="007E3DB5"/>
    <w:rsid w:val="007E4067"/>
    <w:rsid w:val="007E4080"/>
    <w:rsid w:val="007E4324"/>
    <w:rsid w:val="007E4343"/>
    <w:rsid w:val="007E43A5"/>
    <w:rsid w:val="007E44A6"/>
    <w:rsid w:val="007E46EE"/>
    <w:rsid w:val="007E4B3F"/>
    <w:rsid w:val="007E50E4"/>
    <w:rsid w:val="007E5ACA"/>
    <w:rsid w:val="007E5C23"/>
    <w:rsid w:val="007E5D6C"/>
    <w:rsid w:val="007E5F02"/>
    <w:rsid w:val="007E5FDC"/>
    <w:rsid w:val="007E6095"/>
    <w:rsid w:val="007E6463"/>
    <w:rsid w:val="007E64BE"/>
    <w:rsid w:val="007E6E86"/>
    <w:rsid w:val="007E6F77"/>
    <w:rsid w:val="007E7051"/>
    <w:rsid w:val="007E79DF"/>
    <w:rsid w:val="007E7B94"/>
    <w:rsid w:val="007E7FD0"/>
    <w:rsid w:val="007F02D2"/>
    <w:rsid w:val="007F036A"/>
    <w:rsid w:val="007F0B66"/>
    <w:rsid w:val="007F0C6F"/>
    <w:rsid w:val="007F12A5"/>
    <w:rsid w:val="007F12D7"/>
    <w:rsid w:val="007F1492"/>
    <w:rsid w:val="007F22C6"/>
    <w:rsid w:val="007F236F"/>
    <w:rsid w:val="007F2936"/>
    <w:rsid w:val="007F2ABA"/>
    <w:rsid w:val="007F2C9C"/>
    <w:rsid w:val="007F2EF8"/>
    <w:rsid w:val="007F2F32"/>
    <w:rsid w:val="007F3527"/>
    <w:rsid w:val="007F3E01"/>
    <w:rsid w:val="007F4427"/>
    <w:rsid w:val="007F4582"/>
    <w:rsid w:val="007F47F9"/>
    <w:rsid w:val="007F49A9"/>
    <w:rsid w:val="007F4B68"/>
    <w:rsid w:val="007F508E"/>
    <w:rsid w:val="007F5616"/>
    <w:rsid w:val="007F5754"/>
    <w:rsid w:val="007F5A89"/>
    <w:rsid w:val="007F5E11"/>
    <w:rsid w:val="007F5F4E"/>
    <w:rsid w:val="007F6082"/>
    <w:rsid w:val="007F6A3C"/>
    <w:rsid w:val="007F6F1B"/>
    <w:rsid w:val="007F72D1"/>
    <w:rsid w:val="007F777A"/>
    <w:rsid w:val="008000C3"/>
    <w:rsid w:val="00800794"/>
    <w:rsid w:val="0080093A"/>
    <w:rsid w:val="008009AA"/>
    <w:rsid w:val="00800E49"/>
    <w:rsid w:val="00800EB6"/>
    <w:rsid w:val="0080120C"/>
    <w:rsid w:val="00801240"/>
    <w:rsid w:val="008012B1"/>
    <w:rsid w:val="00801689"/>
    <w:rsid w:val="00802B9E"/>
    <w:rsid w:val="00802C57"/>
    <w:rsid w:val="008030DA"/>
    <w:rsid w:val="00803810"/>
    <w:rsid w:val="0080386B"/>
    <w:rsid w:val="00803C76"/>
    <w:rsid w:val="00803D57"/>
    <w:rsid w:val="00804077"/>
    <w:rsid w:val="00804269"/>
    <w:rsid w:val="0080480A"/>
    <w:rsid w:val="00804861"/>
    <w:rsid w:val="0080502D"/>
    <w:rsid w:val="0080516C"/>
    <w:rsid w:val="008054CD"/>
    <w:rsid w:val="0080596F"/>
    <w:rsid w:val="00805C1D"/>
    <w:rsid w:val="008060E1"/>
    <w:rsid w:val="00806534"/>
    <w:rsid w:val="00806652"/>
    <w:rsid w:val="00806655"/>
    <w:rsid w:val="00806904"/>
    <w:rsid w:val="00806E7F"/>
    <w:rsid w:val="00806E9B"/>
    <w:rsid w:val="00806FC5"/>
    <w:rsid w:val="008072DE"/>
    <w:rsid w:val="00807528"/>
    <w:rsid w:val="008078DB"/>
    <w:rsid w:val="008079AF"/>
    <w:rsid w:val="008079E3"/>
    <w:rsid w:val="00807B47"/>
    <w:rsid w:val="00807E72"/>
    <w:rsid w:val="00807F18"/>
    <w:rsid w:val="00810013"/>
    <w:rsid w:val="008103CF"/>
    <w:rsid w:val="00810FCE"/>
    <w:rsid w:val="00811491"/>
    <w:rsid w:val="00811D16"/>
    <w:rsid w:val="00811DC3"/>
    <w:rsid w:val="00811F1F"/>
    <w:rsid w:val="008122DF"/>
    <w:rsid w:val="00812334"/>
    <w:rsid w:val="0081235F"/>
    <w:rsid w:val="00812906"/>
    <w:rsid w:val="00812C2C"/>
    <w:rsid w:val="008135B3"/>
    <w:rsid w:val="008137D6"/>
    <w:rsid w:val="00813A1C"/>
    <w:rsid w:val="00813B00"/>
    <w:rsid w:val="00813D0C"/>
    <w:rsid w:val="00814228"/>
    <w:rsid w:val="008142F5"/>
    <w:rsid w:val="008146F3"/>
    <w:rsid w:val="00814806"/>
    <w:rsid w:val="008149B5"/>
    <w:rsid w:val="00814A92"/>
    <w:rsid w:val="008154CE"/>
    <w:rsid w:val="0081570A"/>
    <w:rsid w:val="00816010"/>
    <w:rsid w:val="00816584"/>
    <w:rsid w:val="0081705D"/>
    <w:rsid w:val="00817616"/>
    <w:rsid w:val="00817678"/>
    <w:rsid w:val="00817F4B"/>
    <w:rsid w:val="00817FC0"/>
    <w:rsid w:val="0082001E"/>
    <w:rsid w:val="008200F6"/>
    <w:rsid w:val="00820619"/>
    <w:rsid w:val="00820746"/>
    <w:rsid w:val="00820791"/>
    <w:rsid w:val="008211BA"/>
    <w:rsid w:val="008212B4"/>
    <w:rsid w:val="008212D3"/>
    <w:rsid w:val="008214BE"/>
    <w:rsid w:val="0082162E"/>
    <w:rsid w:val="00821741"/>
    <w:rsid w:val="0082182D"/>
    <w:rsid w:val="008218FF"/>
    <w:rsid w:val="00821D57"/>
    <w:rsid w:val="00822188"/>
    <w:rsid w:val="008221B2"/>
    <w:rsid w:val="008222D1"/>
    <w:rsid w:val="008223A2"/>
    <w:rsid w:val="0082243F"/>
    <w:rsid w:val="0082245F"/>
    <w:rsid w:val="00822988"/>
    <w:rsid w:val="00822AC0"/>
    <w:rsid w:val="00822E14"/>
    <w:rsid w:val="00823029"/>
    <w:rsid w:val="008238E3"/>
    <w:rsid w:val="008238EC"/>
    <w:rsid w:val="00823A0C"/>
    <w:rsid w:val="00823F6E"/>
    <w:rsid w:val="0082433B"/>
    <w:rsid w:val="00824425"/>
    <w:rsid w:val="00824AD1"/>
    <w:rsid w:val="00824C5C"/>
    <w:rsid w:val="008250EF"/>
    <w:rsid w:val="0082510C"/>
    <w:rsid w:val="00825724"/>
    <w:rsid w:val="008259E9"/>
    <w:rsid w:val="00825DBA"/>
    <w:rsid w:val="00826015"/>
    <w:rsid w:val="00826082"/>
    <w:rsid w:val="00826550"/>
    <w:rsid w:val="008268C8"/>
    <w:rsid w:val="00826D6F"/>
    <w:rsid w:val="00827144"/>
    <w:rsid w:val="0082714B"/>
    <w:rsid w:val="0082736C"/>
    <w:rsid w:val="008275F5"/>
    <w:rsid w:val="00827A8C"/>
    <w:rsid w:val="00827CF0"/>
    <w:rsid w:val="00827F9C"/>
    <w:rsid w:val="0083038C"/>
    <w:rsid w:val="00830713"/>
    <w:rsid w:val="00831104"/>
    <w:rsid w:val="00831540"/>
    <w:rsid w:val="0083168C"/>
    <w:rsid w:val="0083199C"/>
    <w:rsid w:val="00831A5D"/>
    <w:rsid w:val="00831D15"/>
    <w:rsid w:val="00831EF0"/>
    <w:rsid w:val="008321EC"/>
    <w:rsid w:val="00832566"/>
    <w:rsid w:val="00832593"/>
    <w:rsid w:val="008325E4"/>
    <w:rsid w:val="00832C54"/>
    <w:rsid w:val="00833244"/>
    <w:rsid w:val="00833661"/>
    <w:rsid w:val="0083395D"/>
    <w:rsid w:val="00833BAC"/>
    <w:rsid w:val="00833CEA"/>
    <w:rsid w:val="00834055"/>
    <w:rsid w:val="00834334"/>
    <w:rsid w:val="00834451"/>
    <w:rsid w:val="008347D2"/>
    <w:rsid w:val="008349B3"/>
    <w:rsid w:val="00834D09"/>
    <w:rsid w:val="00834DCE"/>
    <w:rsid w:val="00834ED4"/>
    <w:rsid w:val="008351C6"/>
    <w:rsid w:val="008352A3"/>
    <w:rsid w:val="008354AD"/>
    <w:rsid w:val="008354FD"/>
    <w:rsid w:val="008355BD"/>
    <w:rsid w:val="00835A01"/>
    <w:rsid w:val="008369B8"/>
    <w:rsid w:val="00836CB5"/>
    <w:rsid w:val="00836D33"/>
    <w:rsid w:val="00836E8C"/>
    <w:rsid w:val="00836F5E"/>
    <w:rsid w:val="008372B2"/>
    <w:rsid w:val="00837448"/>
    <w:rsid w:val="008375A4"/>
    <w:rsid w:val="00837609"/>
    <w:rsid w:val="008379CC"/>
    <w:rsid w:val="00837C09"/>
    <w:rsid w:val="008407EC"/>
    <w:rsid w:val="00840C69"/>
    <w:rsid w:val="00840CEB"/>
    <w:rsid w:val="00840D2E"/>
    <w:rsid w:val="00840DB9"/>
    <w:rsid w:val="00841431"/>
    <w:rsid w:val="008416C2"/>
    <w:rsid w:val="00841C37"/>
    <w:rsid w:val="00841F12"/>
    <w:rsid w:val="0084254B"/>
    <w:rsid w:val="0084260B"/>
    <w:rsid w:val="008426C7"/>
    <w:rsid w:val="00842D03"/>
    <w:rsid w:val="00842D25"/>
    <w:rsid w:val="00843171"/>
    <w:rsid w:val="008431CB"/>
    <w:rsid w:val="008438F0"/>
    <w:rsid w:val="0084410C"/>
    <w:rsid w:val="008446A7"/>
    <w:rsid w:val="00844923"/>
    <w:rsid w:val="008453DE"/>
    <w:rsid w:val="00845907"/>
    <w:rsid w:val="00845C3F"/>
    <w:rsid w:val="0084638D"/>
    <w:rsid w:val="00847003"/>
    <w:rsid w:val="00847324"/>
    <w:rsid w:val="00847572"/>
    <w:rsid w:val="00847ABC"/>
    <w:rsid w:val="00847DBC"/>
    <w:rsid w:val="00850566"/>
    <w:rsid w:val="00850766"/>
    <w:rsid w:val="00850B6B"/>
    <w:rsid w:val="00850D3D"/>
    <w:rsid w:val="00851218"/>
    <w:rsid w:val="008514B2"/>
    <w:rsid w:val="0085163F"/>
    <w:rsid w:val="00851656"/>
    <w:rsid w:val="00851678"/>
    <w:rsid w:val="0085184A"/>
    <w:rsid w:val="00851D8E"/>
    <w:rsid w:val="00851DCD"/>
    <w:rsid w:val="00851DF8"/>
    <w:rsid w:val="00851F5A"/>
    <w:rsid w:val="0085201E"/>
    <w:rsid w:val="0085233F"/>
    <w:rsid w:val="00852969"/>
    <w:rsid w:val="00852BDE"/>
    <w:rsid w:val="00853053"/>
    <w:rsid w:val="00853142"/>
    <w:rsid w:val="008531B3"/>
    <w:rsid w:val="0085372B"/>
    <w:rsid w:val="00853972"/>
    <w:rsid w:val="00853A85"/>
    <w:rsid w:val="00853B69"/>
    <w:rsid w:val="00853D62"/>
    <w:rsid w:val="008545C2"/>
    <w:rsid w:val="00854723"/>
    <w:rsid w:val="00854E77"/>
    <w:rsid w:val="00855706"/>
    <w:rsid w:val="00855772"/>
    <w:rsid w:val="008557EE"/>
    <w:rsid w:val="00855947"/>
    <w:rsid w:val="00855C31"/>
    <w:rsid w:val="00855CEB"/>
    <w:rsid w:val="00855EBE"/>
    <w:rsid w:val="008561A8"/>
    <w:rsid w:val="00856947"/>
    <w:rsid w:val="00856C9D"/>
    <w:rsid w:val="008571C3"/>
    <w:rsid w:val="0085761C"/>
    <w:rsid w:val="008576A5"/>
    <w:rsid w:val="00857ABB"/>
    <w:rsid w:val="00857EBA"/>
    <w:rsid w:val="00860249"/>
    <w:rsid w:val="008605BC"/>
    <w:rsid w:val="008608EC"/>
    <w:rsid w:val="00860B4E"/>
    <w:rsid w:val="00860FEC"/>
    <w:rsid w:val="00861271"/>
    <w:rsid w:val="00861910"/>
    <w:rsid w:val="008619EC"/>
    <w:rsid w:val="00862CB7"/>
    <w:rsid w:val="00862E14"/>
    <w:rsid w:val="00863D5B"/>
    <w:rsid w:val="008640C9"/>
    <w:rsid w:val="008642A5"/>
    <w:rsid w:val="008642CB"/>
    <w:rsid w:val="008644E5"/>
    <w:rsid w:val="0086460C"/>
    <w:rsid w:val="00864733"/>
    <w:rsid w:val="0086473B"/>
    <w:rsid w:val="00864963"/>
    <w:rsid w:val="00864A3A"/>
    <w:rsid w:val="00864A6C"/>
    <w:rsid w:val="00864AE4"/>
    <w:rsid w:val="00864AEA"/>
    <w:rsid w:val="00864E48"/>
    <w:rsid w:val="00865014"/>
    <w:rsid w:val="008655F2"/>
    <w:rsid w:val="00865D3B"/>
    <w:rsid w:val="00865DBB"/>
    <w:rsid w:val="0086600C"/>
    <w:rsid w:val="008660AF"/>
    <w:rsid w:val="008660E7"/>
    <w:rsid w:val="00866A1B"/>
    <w:rsid w:val="00866A1C"/>
    <w:rsid w:val="00866C6D"/>
    <w:rsid w:val="008670AA"/>
    <w:rsid w:val="008674B3"/>
    <w:rsid w:val="0086767A"/>
    <w:rsid w:val="008679E4"/>
    <w:rsid w:val="008679F9"/>
    <w:rsid w:val="008701B7"/>
    <w:rsid w:val="008705C3"/>
    <w:rsid w:val="00870830"/>
    <w:rsid w:val="00870A72"/>
    <w:rsid w:val="00870BAD"/>
    <w:rsid w:val="00870D0F"/>
    <w:rsid w:val="00870E0E"/>
    <w:rsid w:val="0087118B"/>
    <w:rsid w:val="00871996"/>
    <w:rsid w:val="00871B24"/>
    <w:rsid w:val="00871CB0"/>
    <w:rsid w:val="00871F9A"/>
    <w:rsid w:val="00872017"/>
    <w:rsid w:val="008722CF"/>
    <w:rsid w:val="008728D6"/>
    <w:rsid w:val="0087299C"/>
    <w:rsid w:val="00872A77"/>
    <w:rsid w:val="00872D14"/>
    <w:rsid w:val="00872D6A"/>
    <w:rsid w:val="00872DFE"/>
    <w:rsid w:val="00872E8D"/>
    <w:rsid w:val="0087332E"/>
    <w:rsid w:val="008735B8"/>
    <w:rsid w:val="00873B52"/>
    <w:rsid w:val="00873BDC"/>
    <w:rsid w:val="00873E53"/>
    <w:rsid w:val="00874140"/>
    <w:rsid w:val="00874785"/>
    <w:rsid w:val="00874BF5"/>
    <w:rsid w:val="00874EDD"/>
    <w:rsid w:val="008753BB"/>
    <w:rsid w:val="00875D08"/>
    <w:rsid w:val="00875EA2"/>
    <w:rsid w:val="00876051"/>
    <w:rsid w:val="0087690D"/>
    <w:rsid w:val="00876F3A"/>
    <w:rsid w:val="0087724E"/>
    <w:rsid w:val="00877419"/>
    <w:rsid w:val="008777E6"/>
    <w:rsid w:val="00877C86"/>
    <w:rsid w:val="008802CA"/>
    <w:rsid w:val="00880322"/>
    <w:rsid w:val="008804AE"/>
    <w:rsid w:val="00880CE9"/>
    <w:rsid w:val="00880E25"/>
    <w:rsid w:val="00880EE5"/>
    <w:rsid w:val="0088142A"/>
    <w:rsid w:val="00881549"/>
    <w:rsid w:val="00881752"/>
    <w:rsid w:val="008819C7"/>
    <w:rsid w:val="00881A7B"/>
    <w:rsid w:val="00881D81"/>
    <w:rsid w:val="00881F21"/>
    <w:rsid w:val="008821C9"/>
    <w:rsid w:val="008825FB"/>
    <w:rsid w:val="00882FCF"/>
    <w:rsid w:val="008832EB"/>
    <w:rsid w:val="008834F7"/>
    <w:rsid w:val="008837ED"/>
    <w:rsid w:val="008838D7"/>
    <w:rsid w:val="00883EAF"/>
    <w:rsid w:val="008840D9"/>
    <w:rsid w:val="008842B2"/>
    <w:rsid w:val="0088436B"/>
    <w:rsid w:val="0088438F"/>
    <w:rsid w:val="00884423"/>
    <w:rsid w:val="00884608"/>
    <w:rsid w:val="0088498A"/>
    <w:rsid w:val="00884FC3"/>
    <w:rsid w:val="00885774"/>
    <w:rsid w:val="008857DA"/>
    <w:rsid w:val="00885B1A"/>
    <w:rsid w:val="00885DE1"/>
    <w:rsid w:val="00885E2B"/>
    <w:rsid w:val="00885F56"/>
    <w:rsid w:val="00886422"/>
    <w:rsid w:val="00886ACE"/>
    <w:rsid w:val="00886E21"/>
    <w:rsid w:val="00886EA2"/>
    <w:rsid w:val="00886FA1"/>
    <w:rsid w:val="0088743C"/>
    <w:rsid w:val="00887C0F"/>
    <w:rsid w:val="00887C53"/>
    <w:rsid w:val="008900D0"/>
    <w:rsid w:val="008903F1"/>
    <w:rsid w:val="00890ABB"/>
    <w:rsid w:val="0089138C"/>
    <w:rsid w:val="00891BDC"/>
    <w:rsid w:val="00891BF2"/>
    <w:rsid w:val="00891DEC"/>
    <w:rsid w:val="00892057"/>
    <w:rsid w:val="00892535"/>
    <w:rsid w:val="008926E4"/>
    <w:rsid w:val="0089279C"/>
    <w:rsid w:val="00892933"/>
    <w:rsid w:val="00892A98"/>
    <w:rsid w:val="00892EAE"/>
    <w:rsid w:val="00893771"/>
    <w:rsid w:val="008938DB"/>
    <w:rsid w:val="00893B99"/>
    <w:rsid w:val="00893DA1"/>
    <w:rsid w:val="00893DBC"/>
    <w:rsid w:val="00894946"/>
    <w:rsid w:val="00894A79"/>
    <w:rsid w:val="00894F38"/>
    <w:rsid w:val="008955E1"/>
    <w:rsid w:val="00895990"/>
    <w:rsid w:val="00895B58"/>
    <w:rsid w:val="00896153"/>
    <w:rsid w:val="008967D6"/>
    <w:rsid w:val="00896948"/>
    <w:rsid w:val="00896C50"/>
    <w:rsid w:val="00896D60"/>
    <w:rsid w:val="00896F1A"/>
    <w:rsid w:val="00897164"/>
    <w:rsid w:val="00897522"/>
    <w:rsid w:val="00897632"/>
    <w:rsid w:val="00897B12"/>
    <w:rsid w:val="00897E4C"/>
    <w:rsid w:val="008A000F"/>
    <w:rsid w:val="008A059D"/>
    <w:rsid w:val="008A068F"/>
    <w:rsid w:val="008A07F9"/>
    <w:rsid w:val="008A0AA4"/>
    <w:rsid w:val="008A0B0D"/>
    <w:rsid w:val="008A0B2C"/>
    <w:rsid w:val="008A0D34"/>
    <w:rsid w:val="008A0F69"/>
    <w:rsid w:val="008A0FA3"/>
    <w:rsid w:val="008A1267"/>
    <w:rsid w:val="008A151D"/>
    <w:rsid w:val="008A1809"/>
    <w:rsid w:val="008A1A5A"/>
    <w:rsid w:val="008A1E13"/>
    <w:rsid w:val="008A20A0"/>
    <w:rsid w:val="008A20B7"/>
    <w:rsid w:val="008A26A9"/>
    <w:rsid w:val="008A2EBE"/>
    <w:rsid w:val="008A30C0"/>
    <w:rsid w:val="008A32C9"/>
    <w:rsid w:val="008A3786"/>
    <w:rsid w:val="008A3926"/>
    <w:rsid w:val="008A3BC9"/>
    <w:rsid w:val="008A3DE1"/>
    <w:rsid w:val="008A3E03"/>
    <w:rsid w:val="008A3E82"/>
    <w:rsid w:val="008A3F27"/>
    <w:rsid w:val="008A40B3"/>
    <w:rsid w:val="008A4DC0"/>
    <w:rsid w:val="008A4EBC"/>
    <w:rsid w:val="008A51A4"/>
    <w:rsid w:val="008A56CD"/>
    <w:rsid w:val="008A60D7"/>
    <w:rsid w:val="008A612D"/>
    <w:rsid w:val="008A624F"/>
    <w:rsid w:val="008A62AC"/>
    <w:rsid w:val="008A63DD"/>
    <w:rsid w:val="008A69B0"/>
    <w:rsid w:val="008A6CC9"/>
    <w:rsid w:val="008A6DB1"/>
    <w:rsid w:val="008A7162"/>
    <w:rsid w:val="008A71F3"/>
    <w:rsid w:val="008A7413"/>
    <w:rsid w:val="008A7519"/>
    <w:rsid w:val="008A7957"/>
    <w:rsid w:val="008A7ABF"/>
    <w:rsid w:val="008A7C9D"/>
    <w:rsid w:val="008A7CB2"/>
    <w:rsid w:val="008A7E61"/>
    <w:rsid w:val="008B02B9"/>
    <w:rsid w:val="008B0B24"/>
    <w:rsid w:val="008B0C8F"/>
    <w:rsid w:val="008B0EC7"/>
    <w:rsid w:val="008B1120"/>
    <w:rsid w:val="008B1777"/>
    <w:rsid w:val="008B1EDF"/>
    <w:rsid w:val="008B230A"/>
    <w:rsid w:val="008B2920"/>
    <w:rsid w:val="008B2CD0"/>
    <w:rsid w:val="008B2EBE"/>
    <w:rsid w:val="008B408C"/>
    <w:rsid w:val="008B43F1"/>
    <w:rsid w:val="008B492A"/>
    <w:rsid w:val="008B4F25"/>
    <w:rsid w:val="008B4F78"/>
    <w:rsid w:val="008B535A"/>
    <w:rsid w:val="008B5669"/>
    <w:rsid w:val="008B5C3A"/>
    <w:rsid w:val="008B5D92"/>
    <w:rsid w:val="008B5E68"/>
    <w:rsid w:val="008B5F94"/>
    <w:rsid w:val="008B6210"/>
    <w:rsid w:val="008B62C9"/>
    <w:rsid w:val="008B67B2"/>
    <w:rsid w:val="008B6C2C"/>
    <w:rsid w:val="008B6E94"/>
    <w:rsid w:val="008B795D"/>
    <w:rsid w:val="008B7A8C"/>
    <w:rsid w:val="008B7C10"/>
    <w:rsid w:val="008C0030"/>
    <w:rsid w:val="008C027A"/>
    <w:rsid w:val="008C0C0E"/>
    <w:rsid w:val="008C0CF7"/>
    <w:rsid w:val="008C0DA1"/>
    <w:rsid w:val="008C10F6"/>
    <w:rsid w:val="008C16D8"/>
    <w:rsid w:val="008C181C"/>
    <w:rsid w:val="008C1829"/>
    <w:rsid w:val="008C1B5E"/>
    <w:rsid w:val="008C1C11"/>
    <w:rsid w:val="008C1CA6"/>
    <w:rsid w:val="008C1EFF"/>
    <w:rsid w:val="008C25B1"/>
    <w:rsid w:val="008C29EC"/>
    <w:rsid w:val="008C3586"/>
    <w:rsid w:val="008C39E4"/>
    <w:rsid w:val="008C3A95"/>
    <w:rsid w:val="008C3EE0"/>
    <w:rsid w:val="008C3F10"/>
    <w:rsid w:val="008C46FB"/>
    <w:rsid w:val="008C47A1"/>
    <w:rsid w:val="008C4B5A"/>
    <w:rsid w:val="008C4FD7"/>
    <w:rsid w:val="008C626A"/>
    <w:rsid w:val="008C6B33"/>
    <w:rsid w:val="008C6C4E"/>
    <w:rsid w:val="008C6D0F"/>
    <w:rsid w:val="008C7178"/>
    <w:rsid w:val="008C71DA"/>
    <w:rsid w:val="008C729C"/>
    <w:rsid w:val="008C7320"/>
    <w:rsid w:val="008C7676"/>
    <w:rsid w:val="008C7E56"/>
    <w:rsid w:val="008D042B"/>
    <w:rsid w:val="008D0580"/>
    <w:rsid w:val="008D061E"/>
    <w:rsid w:val="008D0835"/>
    <w:rsid w:val="008D0C4D"/>
    <w:rsid w:val="008D0C77"/>
    <w:rsid w:val="008D158A"/>
    <w:rsid w:val="008D1730"/>
    <w:rsid w:val="008D1B17"/>
    <w:rsid w:val="008D1B7A"/>
    <w:rsid w:val="008D1E8E"/>
    <w:rsid w:val="008D246D"/>
    <w:rsid w:val="008D24AC"/>
    <w:rsid w:val="008D26B7"/>
    <w:rsid w:val="008D2854"/>
    <w:rsid w:val="008D2ABA"/>
    <w:rsid w:val="008D2B0A"/>
    <w:rsid w:val="008D3246"/>
    <w:rsid w:val="008D3448"/>
    <w:rsid w:val="008D346C"/>
    <w:rsid w:val="008D385B"/>
    <w:rsid w:val="008D3E60"/>
    <w:rsid w:val="008D3EEB"/>
    <w:rsid w:val="008D4355"/>
    <w:rsid w:val="008D4617"/>
    <w:rsid w:val="008D4897"/>
    <w:rsid w:val="008D4903"/>
    <w:rsid w:val="008D4D28"/>
    <w:rsid w:val="008D50B8"/>
    <w:rsid w:val="008D528C"/>
    <w:rsid w:val="008D5638"/>
    <w:rsid w:val="008D57DC"/>
    <w:rsid w:val="008D587A"/>
    <w:rsid w:val="008D5980"/>
    <w:rsid w:val="008D5C10"/>
    <w:rsid w:val="008D69C2"/>
    <w:rsid w:val="008D6E01"/>
    <w:rsid w:val="008D6FCF"/>
    <w:rsid w:val="008D70E8"/>
    <w:rsid w:val="008D7392"/>
    <w:rsid w:val="008D774E"/>
    <w:rsid w:val="008D7B57"/>
    <w:rsid w:val="008D7C6D"/>
    <w:rsid w:val="008E0A41"/>
    <w:rsid w:val="008E0CEC"/>
    <w:rsid w:val="008E0DA4"/>
    <w:rsid w:val="008E0DBA"/>
    <w:rsid w:val="008E0FFA"/>
    <w:rsid w:val="008E1009"/>
    <w:rsid w:val="008E135E"/>
    <w:rsid w:val="008E1618"/>
    <w:rsid w:val="008E1712"/>
    <w:rsid w:val="008E1726"/>
    <w:rsid w:val="008E20C2"/>
    <w:rsid w:val="008E223B"/>
    <w:rsid w:val="008E22A8"/>
    <w:rsid w:val="008E2443"/>
    <w:rsid w:val="008E2CCF"/>
    <w:rsid w:val="008E2D4B"/>
    <w:rsid w:val="008E3038"/>
    <w:rsid w:val="008E33FC"/>
    <w:rsid w:val="008E3900"/>
    <w:rsid w:val="008E3A35"/>
    <w:rsid w:val="008E3B75"/>
    <w:rsid w:val="008E3D7B"/>
    <w:rsid w:val="008E4186"/>
    <w:rsid w:val="008E4A5D"/>
    <w:rsid w:val="008E4C5B"/>
    <w:rsid w:val="008E4CF6"/>
    <w:rsid w:val="008E4DCF"/>
    <w:rsid w:val="008E532C"/>
    <w:rsid w:val="008E5475"/>
    <w:rsid w:val="008E555F"/>
    <w:rsid w:val="008E56E8"/>
    <w:rsid w:val="008E5E43"/>
    <w:rsid w:val="008E627A"/>
    <w:rsid w:val="008E62E3"/>
    <w:rsid w:val="008E656A"/>
    <w:rsid w:val="008E6AD1"/>
    <w:rsid w:val="008E6AF7"/>
    <w:rsid w:val="008E6F14"/>
    <w:rsid w:val="008E7265"/>
    <w:rsid w:val="008E7286"/>
    <w:rsid w:val="008E7A73"/>
    <w:rsid w:val="008F0153"/>
    <w:rsid w:val="008F0328"/>
    <w:rsid w:val="008F0444"/>
    <w:rsid w:val="008F1011"/>
    <w:rsid w:val="008F1180"/>
    <w:rsid w:val="008F11C0"/>
    <w:rsid w:val="008F1361"/>
    <w:rsid w:val="008F138D"/>
    <w:rsid w:val="008F14F3"/>
    <w:rsid w:val="008F173E"/>
    <w:rsid w:val="008F1B99"/>
    <w:rsid w:val="008F226B"/>
    <w:rsid w:val="008F2F61"/>
    <w:rsid w:val="008F33EF"/>
    <w:rsid w:val="008F3489"/>
    <w:rsid w:val="008F35C1"/>
    <w:rsid w:val="008F3AB4"/>
    <w:rsid w:val="008F3D50"/>
    <w:rsid w:val="008F3F12"/>
    <w:rsid w:val="008F3F3A"/>
    <w:rsid w:val="008F4038"/>
    <w:rsid w:val="008F4421"/>
    <w:rsid w:val="008F463B"/>
    <w:rsid w:val="008F4A09"/>
    <w:rsid w:val="008F4E4F"/>
    <w:rsid w:val="008F4FE2"/>
    <w:rsid w:val="008F5E28"/>
    <w:rsid w:val="008F605E"/>
    <w:rsid w:val="008F6325"/>
    <w:rsid w:val="008F6B39"/>
    <w:rsid w:val="008F6CF6"/>
    <w:rsid w:val="008F6E24"/>
    <w:rsid w:val="008F70F4"/>
    <w:rsid w:val="008F7B2F"/>
    <w:rsid w:val="008F7DD1"/>
    <w:rsid w:val="008F7F8F"/>
    <w:rsid w:val="008F7FAA"/>
    <w:rsid w:val="0090068C"/>
    <w:rsid w:val="00900986"/>
    <w:rsid w:val="00900CA1"/>
    <w:rsid w:val="009010D3"/>
    <w:rsid w:val="00901112"/>
    <w:rsid w:val="00901367"/>
    <w:rsid w:val="00901498"/>
    <w:rsid w:val="00901508"/>
    <w:rsid w:val="0090168F"/>
    <w:rsid w:val="00901921"/>
    <w:rsid w:val="009019FA"/>
    <w:rsid w:val="00901AB1"/>
    <w:rsid w:val="00902139"/>
    <w:rsid w:val="00902768"/>
    <w:rsid w:val="009028E7"/>
    <w:rsid w:val="00902990"/>
    <w:rsid w:val="009029F4"/>
    <w:rsid w:val="00902F9B"/>
    <w:rsid w:val="00903054"/>
    <w:rsid w:val="009030FF"/>
    <w:rsid w:val="00903339"/>
    <w:rsid w:val="00903704"/>
    <w:rsid w:val="009037B8"/>
    <w:rsid w:val="00903870"/>
    <w:rsid w:val="00903963"/>
    <w:rsid w:val="00903A96"/>
    <w:rsid w:val="009046BD"/>
    <w:rsid w:val="009049D7"/>
    <w:rsid w:val="00904CF5"/>
    <w:rsid w:val="00904E84"/>
    <w:rsid w:val="00905B39"/>
    <w:rsid w:val="00905C6A"/>
    <w:rsid w:val="00905D3C"/>
    <w:rsid w:val="009061BB"/>
    <w:rsid w:val="009064AD"/>
    <w:rsid w:val="00906861"/>
    <w:rsid w:val="00906A76"/>
    <w:rsid w:val="00906C11"/>
    <w:rsid w:val="00906C1B"/>
    <w:rsid w:val="00906F9B"/>
    <w:rsid w:val="0090725F"/>
    <w:rsid w:val="00907468"/>
    <w:rsid w:val="00907B24"/>
    <w:rsid w:val="00907D95"/>
    <w:rsid w:val="00910422"/>
    <w:rsid w:val="00910603"/>
    <w:rsid w:val="00910672"/>
    <w:rsid w:val="00910ACF"/>
    <w:rsid w:val="00911398"/>
    <w:rsid w:val="00911B56"/>
    <w:rsid w:val="00911DDC"/>
    <w:rsid w:val="00912327"/>
    <w:rsid w:val="0091261D"/>
    <w:rsid w:val="0091282C"/>
    <w:rsid w:val="00912A5A"/>
    <w:rsid w:val="00912A6D"/>
    <w:rsid w:val="0091301E"/>
    <w:rsid w:val="009130F7"/>
    <w:rsid w:val="0091355C"/>
    <w:rsid w:val="009137EF"/>
    <w:rsid w:val="0091396D"/>
    <w:rsid w:val="00913B8D"/>
    <w:rsid w:val="00913FC1"/>
    <w:rsid w:val="00914110"/>
    <w:rsid w:val="00914221"/>
    <w:rsid w:val="00914E91"/>
    <w:rsid w:val="00915420"/>
    <w:rsid w:val="00915C15"/>
    <w:rsid w:val="00915CF5"/>
    <w:rsid w:val="00915D11"/>
    <w:rsid w:val="00915F74"/>
    <w:rsid w:val="0091625F"/>
    <w:rsid w:val="009162D4"/>
    <w:rsid w:val="009164D7"/>
    <w:rsid w:val="009168AA"/>
    <w:rsid w:val="00916EF8"/>
    <w:rsid w:val="00916F37"/>
    <w:rsid w:val="00917030"/>
    <w:rsid w:val="00917059"/>
    <w:rsid w:val="00917357"/>
    <w:rsid w:val="00917722"/>
    <w:rsid w:val="00917794"/>
    <w:rsid w:val="00917AE1"/>
    <w:rsid w:val="00920085"/>
    <w:rsid w:val="009201B0"/>
    <w:rsid w:val="0092054C"/>
    <w:rsid w:val="00920796"/>
    <w:rsid w:val="0092090B"/>
    <w:rsid w:val="0092125F"/>
    <w:rsid w:val="00921A17"/>
    <w:rsid w:val="00921BD0"/>
    <w:rsid w:val="00921D4E"/>
    <w:rsid w:val="00921FC4"/>
    <w:rsid w:val="00922155"/>
    <w:rsid w:val="0092217B"/>
    <w:rsid w:val="00922384"/>
    <w:rsid w:val="009223BD"/>
    <w:rsid w:val="009224FD"/>
    <w:rsid w:val="009229E6"/>
    <w:rsid w:val="009237FD"/>
    <w:rsid w:val="00923A34"/>
    <w:rsid w:val="00923D90"/>
    <w:rsid w:val="0092444B"/>
    <w:rsid w:val="00924784"/>
    <w:rsid w:val="00924804"/>
    <w:rsid w:val="00924AB1"/>
    <w:rsid w:val="00924ACB"/>
    <w:rsid w:val="00924BDC"/>
    <w:rsid w:val="00924E62"/>
    <w:rsid w:val="009252B2"/>
    <w:rsid w:val="00925459"/>
    <w:rsid w:val="00925B9A"/>
    <w:rsid w:val="00925BD5"/>
    <w:rsid w:val="00925DC5"/>
    <w:rsid w:val="00926279"/>
    <w:rsid w:val="00926929"/>
    <w:rsid w:val="00927259"/>
    <w:rsid w:val="00927A8C"/>
    <w:rsid w:val="00927BED"/>
    <w:rsid w:val="00927F07"/>
    <w:rsid w:val="00930059"/>
    <w:rsid w:val="00930263"/>
    <w:rsid w:val="00930EA1"/>
    <w:rsid w:val="009310A9"/>
    <w:rsid w:val="00931122"/>
    <w:rsid w:val="0093161C"/>
    <w:rsid w:val="009317FC"/>
    <w:rsid w:val="00931849"/>
    <w:rsid w:val="00931913"/>
    <w:rsid w:val="00931E68"/>
    <w:rsid w:val="0093282D"/>
    <w:rsid w:val="00932CB0"/>
    <w:rsid w:val="00932D20"/>
    <w:rsid w:val="00933292"/>
    <w:rsid w:val="00933A3C"/>
    <w:rsid w:val="00933B0B"/>
    <w:rsid w:val="00933C29"/>
    <w:rsid w:val="00933DC1"/>
    <w:rsid w:val="00933EB5"/>
    <w:rsid w:val="00934206"/>
    <w:rsid w:val="00934609"/>
    <w:rsid w:val="00934983"/>
    <w:rsid w:val="009349C2"/>
    <w:rsid w:val="00934E38"/>
    <w:rsid w:val="009353BA"/>
    <w:rsid w:val="0093590A"/>
    <w:rsid w:val="009359A4"/>
    <w:rsid w:val="00935B1E"/>
    <w:rsid w:val="0093665A"/>
    <w:rsid w:val="00936B2F"/>
    <w:rsid w:val="00936BFA"/>
    <w:rsid w:val="00936E08"/>
    <w:rsid w:val="0093706B"/>
    <w:rsid w:val="00937437"/>
    <w:rsid w:val="009374E7"/>
    <w:rsid w:val="0093780A"/>
    <w:rsid w:val="009405DF"/>
    <w:rsid w:val="00940D33"/>
    <w:rsid w:val="00940F68"/>
    <w:rsid w:val="0094130A"/>
    <w:rsid w:val="00941922"/>
    <w:rsid w:val="00941CC7"/>
    <w:rsid w:val="00941F6F"/>
    <w:rsid w:val="00941FE8"/>
    <w:rsid w:val="0094212C"/>
    <w:rsid w:val="009422F8"/>
    <w:rsid w:val="00942331"/>
    <w:rsid w:val="009425BF"/>
    <w:rsid w:val="00942692"/>
    <w:rsid w:val="00943456"/>
    <w:rsid w:val="00943EB0"/>
    <w:rsid w:val="00943FA1"/>
    <w:rsid w:val="00944031"/>
    <w:rsid w:val="009449E4"/>
    <w:rsid w:val="00944F5B"/>
    <w:rsid w:val="00945011"/>
    <w:rsid w:val="00945107"/>
    <w:rsid w:val="00945404"/>
    <w:rsid w:val="009456EC"/>
    <w:rsid w:val="009459E4"/>
    <w:rsid w:val="00945A0C"/>
    <w:rsid w:val="00945B4A"/>
    <w:rsid w:val="00945C61"/>
    <w:rsid w:val="009468AA"/>
    <w:rsid w:val="00946A8C"/>
    <w:rsid w:val="00946B8F"/>
    <w:rsid w:val="00946EC8"/>
    <w:rsid w:val="00946FE1"/>
    <w:rsid w:val="0094736C"/>
    <w:rsid w:val="0094777C"/>
    <w:rsid w:val="00947879"/>
    <w:rsid w:val="009478E2"/>
    <w:rsid w:val="00947B35"/>
    <w:rsid w:val="00950069"/>
    <w:rsid w:val="0095045C"/>
    <w:rsid w:val="009509C6"/>
    <w:rsid w:val="00950C75"/>
    <w:rsid w:val="00951022"/>
    <w:rsid w:val="00951148"/>
    <w:rsid w:val="0095114F"/>
    <w:rsid w:val="00951519"/>
    <w:rsid w:val="00951777"/>
    <w:rsid w:val="009520DE"/>
    <w:rsid w:val="0095224A"/>
    <w:rsid w:val="0095235C"/>
    <w:rsid w:val="00952373"/>
    <w:rsid w:val="009523B4"/>
    <w:rsid w:val="00952A93"/>
    <w:rsid w:val="00952B17"/>
    <w:rsid w:val="00952C07"/>
    <w:rsid w:val="00952C17"/>
    <w:rsid w:val="00952C1E"/>
    <w:rsid w:val="00952EB6"/>
    <w:rsid w:val="0095320C"/>
    <w:rsid w:val="009535C2"/>
    <w:rsid w:val="00953D30"/>
    <w:rsid w:val="00954082"/>
    <w:rsid w:val="0095429E"/>
    <w:rsid w:val="00954613"/>
    <w:rsid w:val="00954719"/>
    <w:rsid w:val="00954999"/>
    <w:rsid w:val="00955701"/>
    <w:rsid w:val="00955BAE"/>
    <w:rsid w:val="00955F0D"/>
    <w:rsid w:val="009563CD"/>
    <w:rsid w:val="009566AB"/>
    <w:rsid w:val="009566CC"/>
    <w:rsid w:val="00956F23"/>
    <w:rsid w:val="00957626"/>
    <w:rsid w:val="00957823"/>
    <w:rsid w:val="00957836"/>
    <w:rsid w:val="00957D4C"/>
    <w:rsid w:val="00957F81"/>
    <w:rsid w:val="00960155"/>
    <w:rsid w:val="009601B3"/>
    <w:rsid w:val="009603D9"/>
    <w:rsid w:val="00960441"/>
    <w:rsid w:val="0096085C"/>
    <w:rsid w:val="009609AF"/>
    <w:rsid w:val="00960D32"/>
    <w:rsid w:val="009613EE"/>
    <w:rsid w:val="00961828"/>
    <w:rsid w:val="0096191B"/>
    <w:rsid w:val="00961A7A"/>
    <w:rsid w:val="00961E1B"/>
    <w:rsid w:val="0096228B"/>
    <w:rsid w:val="009624BF"/>
    <w:rsid w:val="009624C4"/>
    <w:rsid w:val="00962A03"/>
    <w:rsid w:val="00962EBD"/>
    <w:rsid w:val="00962EF8"/>
    <w:rsid w:val="00963275"/>
    <w:rsid w:val="009637DB"/>
    <w:rsid w:val="0096424B"/>
    <w:rsid w:val="00964431"/>
    <w:rsid w:val="00964CF7"/>
    <w:rsid w:val="00964E03"/>
    <w:rsid w:val="00965299"/>
    <w:rsid w:val="009654CB"/>
    <w:rsid w:val="00965528"/>
    <w:rsid w:val="0096552B"/>
    <w:rsid w:val="0096559F"/>
    <w:rsid w:val="00965EE0"/>
    <w:rsid w:val="00965EE2"/>
    <w:rsid w:val="0096637A"/>
    <w:rsid w:val="00966E89"/>
    <w:rsid w:val="009675D2"/>
    <w:rsid w:val="009676F9"/>
    <w:rsid w:val="009678DE"/>
    <w:rsid w:val="009700BB"/>
    <w:rsid w:val="0097010A"/>
    <w:rsid w:val="00970726"/>
    <w:rsid w:val="00970937"/>
    <w:rsid w:val="00971853"/>
    <w:rsid w:val="00971951"/>
    <w:rsid w:val="009728A5"/>
    <w:rsid w:val="00972C06"/>
    <w:rsid w:val="009734D9"/>
    <w:rsid w:val="009736C6"/>
    <w:rsid w:val="00973732"/>
    <w:rsid w:val="0097394F"/>
    <w:rsid w:val="00973C7E"/>
    <w:rsid w:val="00973D61"/>
    <w:rsid w:val="00974072"/>
    <w:rsid w:val="00974362"/>
    <w:rsid w:val="0097472E"/>
    <w:rsid w:val="00974763"/>
    <w:rsid w:val="00974F2B"/>
    <w:rsid w:val="009750C3"/>
    <w:rsid w:val="009751A6"/>
    <w:rsid w:val="009751B0"/>
    <w:rsid w:val="009751EC"/>
    <w:rsid w:val="00975610"/>
    <w:rsid w:val="0097562B"/>
    <w:rsid w:val="00975CD4"/>
    <w:rsid w:val="00975FA0"/>
    <w:rsid w:val="0097601F"/>
    <w:rsid w:val="00976041"/>
    <w:rsid w:val="009762E5"/>
    <w:rsid w:val="0097638A"/>
    <w:rsid w:val="0097666D"/>
    <w:rsid w:val="00977325"/>
    <w:rsid w:val="00977556"/>
    <w:rsid w:val="0097778D"/>
    <w:rsid w:val="009777E9"/>
    <w:rsid w:val="00977F55"/>
    <w:rsid w:val="00980B12"/>
    <w:rsid w:val="00980C75"/>
    <w:rsid w:val="0098109C"/>
    <w:rsid w:val="00981510"/>
    <w:rsid w:val="00981962"/>
    <w:rsid w:val="00982029"/>
    <w:rsid w:val="009820D1"/>
    <w:rsid w:val="009821E9"/>
    <w:rsid w:val="0098225D"/>
    <w:rsid w:val="0098233F"/>
    <w:rsid w:val="009823C6"/>
    <w:rsid w:val="009823CF"/>
    <w:rsid w:val="0098254D"/>
    <w:rsid w:val="009827F5"/>
    <w:rsid w:val="009829B8"/>
    <w:rsid w:val="00982BA4"/>
    <w:rsid w:val="00982C81"/>
    <w:rsid w:val="009832B9"/>
    <w:rsid w:val="009832F3"/>
    <w:rsid w:val="00983556"/>
    <w:rsid w:val="00983F99"/>
    <w:rsid w:val="00984269"/>
    <w:rsid w:val="009842FC"/>
    <w:rsid w:val="00984990"/>
    <w:rsid w:val="00984AD4"/>
    <w:rsid w:val="00984CC0"/>
    <w:rsid w:val="00985058"/>
    <w:rsid w:val="00985326"/>
    <w:rsid w:val="0098555C"/>
    <w:rsid w:val="00986258"/>
    <w:rsid w:val="0098671D"/>
    <w:rsid w:val="009868BF"/>
    <w:rsid w:val="00986DED"/>
    <w:rsid w:val="00986F45"/>
    <w:rsid w:val="00986F70"/>
    <w:rsid w:val="0098724E"/>
    <w:rsid w:val="00987A46"/>
    <w:rsid w:val="00987C1C"/>
    <w:rsid w:val="00987FA4"/>
    <w:rsid w:val="00987FDA"/>
    <w:rsid w:val="00987FE8"/>
    <w:rsid w:val="00990DEE"/>
    <w:rsid w:val="00990FAB"/>
    <w:rsid w:val="009912A7"/>
    <w:rsid w:val="009915B7"/>
    <w:rsid w:val="00991803"/>
    <w:rsid w:val="009923F1"/>
    <w:rsid w:val="00992740"/>
    <w:rsid w:val="00992780"/>
    <w:rsid w:val="00992B77"/>
    <w:rsid w:val="00992BDE"/>
    <w:rsid w:val="00993007"/>
    <w:rsid w:val="00993190"/>
    <w:rsid w:val="009931EA"/>
    <w:rsid w:val="0099349E"/>
    <w:rsid w:val="009934F5"/>
    <w:rsid w:val="00993593"/>
    <w:rsid w:val="00993973"/>
    <w:rsid w:val="00993FDD"/>
    <w:rsid w:val="00994321"/>
    <w:rsid w:val="009947CA"/>
    <w:rsid w:val="00994A02"/>
    <w:rsid w:val="00994C3F"/>
    <w:rsid w:val="00994CF6"/>
    <w:rsid w:val="009954D4"/>
    <w:rsid w:val="009955BB"/>
    <w:rsid w:val="00995B4B"/>
    <w:rsid w:val="00995D2F"/>
    <w:rsid w:val="00996015"/>
    <w:rsid w:val="00996B27"/>
    <w:rsid w:val="00996F4E"/>
    <w:rsid w:val="00997431"/>
    <w:rsid w:val="0099769D"/>
    <w:rsid w:val="00997939"/>
    <w:rsid w:val="00997AB5"/>
    <w:rsid w:val="009A051B"/>
    <w:rsid w:val="009A0977"/>
    <w:rsid w:val="009A0B7F"/>
    <w:rsid w:val="009A11EB"/>
    <w:rsid w:val="009A1210"/>
    <w:rsid w:val="009A1228"/>
    <w:rsid w:val="009A1920"/>
    <w:rsid w:val="009A2358"/>
    <w:rsid w:val="009A2990"/>
    <w:rsid w:val="009A3027"/>
    <w:rsid w:val="009A3239"/>
    <w:rsid w:val="009A3313"/>
    <w:rsid w:val="009A3464"/>
    <w:rsid w:val="009A3610"/>
    <w:rsid w:val="009A36D7"/>
    <w:rsid w:val="009A3F00"/>
    <w:rsid w:val="009A4718"/>
    <w:rsid w:val="009A474F"/>
    <w:rsid w:val="009A4DFE"/>
    <w:rsid w:val="009A4FCA"/>
    <w:rsid w:val="009A58AC"/>
    <w:rsid w:val="009A6340"/>
    <w:rsid w:val="009A67A8"/>
    <w:rsid w:val="009A6C3B"/>
    <w:rsid w:val="009A6CA3"/>
    <w:rsid w:val="009A6CB8"/>
    <w:rsid w:val="009A7243"/>
    <w:rsid w:val="009A73A4"/>
    <w:rsid w:val="009A77BD"/>
    <w:rsid w:val="009A7F5C"/>
    <w:rsid w:val="009B03CF"/>
    <w:rsid w:val="009B064F"/>
    <w:rsid w:val="009B0684"/>
    <w:rsid w:val="009B0717"/>
    <w:rsid w:val="009B0789"/>
    <w:rsid w:val="009B0D07"/>
    <w:rsid w:val="009B0E13"/>
    <w:rsid w:val="009B100D"/>
    <w:rsid w:val="009B150D"/>
    <w:rsid w:val="009B17E6"/>
    <w:rsid w:val="009B1908"/>
    <w:rsid w:val="009B1D52"/>
    <w:rsid w:val="009B1E5F"/>
    <w:rsid w:val="009B2183"/>
    <w:rsid w:val="009B2433"/>
    <w:rsid w:val="009B24BA"/>
    <w:rsid w:val="009B295A"/>
    <w:rsid w:val="009B2A2F"/>
    <w:rsid w:val="009B2AF5"/>
    <w:rsid w:val="009B2B7B"/>
    <w:rsid w:val="009B2BAF"/>
    <w:rsid w:val="009B2D5A"/>
    <w:rsid w:val="009B327E"/>
    <w:rsid w:val="009B3477"/>
    <w:rsid w:val="009B37AE"/>
    <w:rsid w:val="009B3D8E"/>
    <w:rsid w:val="009B3E72"/>
    <w:rsid w:val="009B4515"/>
    <w:rsid w:val="009B471A"/>
    <w:rsid w:val="009B4D4C"/>
    <w:rsid w:val="009B52BB"/>
    <w:rsid w:val="009B56F1"/>
    <w:rsid w:val="009B5840"/>
    <w:rsid w:val="009B5985"/>
    <w:rsid w:val="009B601A"/>
    <w:rsid w:val="009B6279"/>
    <w:rsid w:val="009B67D0"/>
    <w:rsid w:val="009B688F"/>
    <w:rsid w:val="009B69BB"/>
    <w:rsid w:val="009B69F4"/>
    <w:rsid w:val="009B6A21"/>
    <w:rsid w:val="009B6DC4"/>
    <w:rsid w:val="009B6DE6"/>
    <w:rsid w:val="009B73E7"/>
    <w:rsid w:val="009B74F2"/>
    <w:rsid w:val="009B75DD"/>
    <w:rsid w:val="009C110A"/>
    <w:rsid w:val="009C1131"/>
    <w:rsid w:val="009C136E"/>
    <w:rsid w:val="009C174B"/>
    <w:rsid w:val="009C179D"/>
    <w:rsid w:val="009C181E"/>
    <w:rsid w:val="009C183C"/>
    <w:rsid w:val="009C19B7"/>
    <w:rsid w:val="009C1AFB"/>
    <w:rsid w:val="009C1BED"/>
    <w:rsid w:val="009C1D25"/>
    <w:rsid w:val="009C2C55"/>
    <w:rsid w:val="009C2E28"/>
    <w:rsid w:val="009C3129"/>
    <w:rsid w:val="009C356D"/>
    <w:rsid w:val="009C38DC"/>
    <w:rsid w:val="009C3A3A"/>
    <w:rsid w:val="009C3CE8"/>
    <w:rsid w:val="009C3F2A"/>
    <w:rsid w:val="009C3FCC"/>
    <w:rsid w:val="009C4034"/>
    <w:rsid w:val="009C43FE"/>
    <w:rsid w:val="009C4C40"/>
    <w:rsid w:val="009C4FA5"/>
    <w:rsid w:val="009C5219"/>
    <w:rsid w:val="009C578E"/>
    <w:rsid w:val="009C5ADE"/>
    <w:rsid w:val="009C5C78"/>
    <w:rsid w:val="009C5E92"/>
    <w:rsid w:val="009C6888"/>
    <w:rsid w:val="009C7049"/>
    <w:rsid w:val="009C720D"/>
    <w:rsid w:val="009C7333"/>
    <w:rsid w:val="009C73D3"/>
    <w:rsid w:val="009C7850"/>
    <w:rsid w:val="009C7AA8"/>
    <w:rsid w:val="009C7D2C"/>
    <w:rsid w:val="009C7D8A"/>
    <w:rsid w:val="009C7E06"/>
    <w:rsid w:val="009C7E24"/>
    <w:rsid w:val="009D0244"/>
    <w:rsid w:val="009D067D"/>
    <w:rsid w:val="009D0A65"/>
    <w:rsid w:val="009D1040"/>
    <w:rsid w:val="009D1A98"/>
    <w:rsid w:val="009D1B28"/>
    <w:rsid w:val="009D1EB9"/>
    <w:rsid w:val="009D20F5"/>
    <w:rsid w:val="009D2496"/>
    <w:rsid w:val="009D26AE"/>
    <w:rsid w:val="009D2B82"/>
    <w:rsid w:val="009D373C"/>
    <w:rsid w:val="009D392F"/>
    <w:rsid w:val="009D39BF"/>
    <w:rsid w:val="009D3ADA"/>
    <w:rsid w:val="009D45B9"/>
    <w:rsid w:val="009D4801"/>
    <w:rsid w:val="009D4C30"/>
    <w:rsid w:val="009D4C6D"/>
    <w:rsid w:val="009D4F09"/>
    <w:rsid w:val="009D4F40"/>
    <w:rsid w:val="009D5081"/>
    <w:rsid w:val="009D583C"/>
    <w:rsid w:val="009D5BA5"/>
    <w:rsid w:val="009D5C0D"/>
    <w:rsid w:val="009D641A"/>
    <w:rsid w:val="009D64CD"/>
    <w:rsid w:val="009D7111"/>
    <w:rsid w:val="009D728F"/>
    <w:rsid w:val="009D77CC"/>
    <w:rsid w:val="009D7869"/>
    <w:rsid w:val="009D7BA6"/>
    <w:rsid w:val="009E01B3"/>
    <w:rsid w:val="009E0719"/>
    <w:rsid w:val="009E0DF3"/>
    <w:rsid w:val="009E1B2E"/>
    <w:rsid w:val="009E1CEE"/>
    <w:rsid w:val="009E1D71"/>
    <w:rsid w:val="009E1FA4"/>
    <w:rsid w:val="009E2147"/>
    <w:rsid w:val="009E2261"/>
    <w:rsid w:val="009E25C2"/>
    <w:rsid w:val="009E2623"/>
    <w:rsid w:val="009E26E3"/>
    <w:rsid w:val="009E28CB"/>
    <w:rsid w:val="009E2A63"/>
    <w:rsid w:val="009E2D1B"/>
    <w:rsid w:val="009E2DE8"/>
    <w:rsid w:val="009E2FD0"/>
    <w:rsid w:val="009E34D4"/>
    <w:rsid w:val="009E3A26"/>
    <w:rsid w:val="009E3CD3"/>
    <w:rsid w:val="009E3D4E"/>
    <w:rsid w:val="009E3FD2"/>
    <w:rsid w:val="009E4615"/>
    <w:rsid w:val="009E4726"/>
    <w:rsid w:val="009E4727"/>
    <w:rsid w:val="009E4FFF"/>
    <w:rsid w:val="009E5081"/>
    <w:rsid w:val="009E5590"/>
    <w:rsid w:val="009E57D8"/>
    <w:rsid w:val="009E6165"/>
    <w:rsid w:val="009E6647"/>
    <w:rsid w:val="009E66D2"/>
    <w:rsid w:val="009E6894"/>
    <w:rsid w:val="009E6A21"/>
    <w:rsid w:val="009E70AD"/>
    <w:rsid w:val="009E720A"/>
    <w:rsid w:val="009E7624"/>
    <w:rsid w:val="009E7DEE"/>
    <w:rsid w:val="009F0191"/>
    <w:rsid w:val="009F088E"/>
    <w:rsid w:val="009F0A54"/>
    <w:rsid w:val="009F0F6F"/>
    <w:rsid w:val="009F134A"/>
    <w:rsid w:val="009F1395"/>
    <w:rsid w:val="009F183C"/>
    <w:rsid w:val="009F194E"/>
    <w:rsid w:val="009F2321"/>
    <w:rsid w:val="009F28EA"/>
    <w:rsid w:val="009F2938"/>
    <w:rsid w:val="009F298A"/>
    <w:rsid w:val="009F2A1F"/>
    <w:rsid w:val="009F3385"/>
    <w:rsid w:val="009F35C9"/>
    <w:rsid w:val="009F366F"/>
    <w:rsid w:val="009F36D2"/>
    <w:rsid w:val="009F36ED"/>
    <w:rsid w:val="009F38A6"/>
    <w:rsid w:val="009F3917"/>
    <w:rsid w:val="009F3CF6"/>
    <w:rsid w:val="009F44A2"/>
    <w:rsid w:val="009F4570"/>
    <w:rsid w:val="009F4D92"/>
    <w:rsid w:val="009F4F74"/>
    <w:rsid w:val="009F513A"/>
    <w:rsid w:val="009F5E88"/>
    <w:rsid w:val="009F675F"/>
    <w:rsid w:val="009F6B32"/>
    <w:rsid w:val="009F6B44"/>
    <w:rsid w:val="009F6C3D"/>
    <w:rsid w:val="009F6F72"/>
    <w:rsid w:val="009F7537"/>
    <w:rsid w:val="009F76CB"/>
    <w:rsid w:val="009F7818"/>
    <w:rsid w:val="009F7959"/>
    <w:rsid w:val="00A00055"/>
    <w:rsid w:val="00A0082D"/>
    <w:rsid w:val="00A00B6D"/>
    <w:rsid w:val="00A00BD2"/>
    <w:rsid w:val="00A00EE0"/>
    <w:rsid w:val="00A00FE2"/>
    <w:rsid w:val="00A010D2"/>
    <w:rsid w:val="00A015A8"/>
    <w:rsid w:val="00A018FD"/>
    <w:rsid w:val="00A01B5B"/>
    <w:rsid w:val="00A01F8C"/>
    <w:rsid w:val="00A020D1"/>
    <w:rsid w:val="00A02168"/>
    <w:rsid w:val="00A021EC"/>
    <w:rsid w:val="00A02553"/>
    <w:rsid w:val="00A0273A"/>
    <w:rsid w:val="00A029C0"/>
    <w:rsid w:val="00A02A1C"/>
    <w:rsid w:val="00A02EB8"/>
    <w:rsid w:val="00A034BD"/>
    <w:rsid w:val="00A0353E"/>
    <w:rsid w:val="00A03AB8"/>
    <w:rsid w:val="00A03C9C"/>
    <w:rsid w:val="00A03CE9"/>
    <w:rsid w:val="00A03F69"/>
    <w:rsid w:val="00A0418A"/>
    <w:rsid w:val="00A0440B"/>
    <w:rsid w:val="00A04436"/>
    <w:rsid w:val="00A044D5"/>
    <w:rsid w:val="00A04A1E"/>
    <w:rsid w:val="00A05595"/>
    <w:rsid w:val="00A058C2"/>
    <w:rsid w:val="00A058F6"/>
    <w:rsid w:val="00A05A3A"/>
    <w:rsid w:val="00A05A94"/>
    <w:rsid w:val="00A05CF7"/>
    <w:rsid w:val="00A05FAA"/>
    <w:rsid w:val="00A062C9"/>
    <w:rsid w:val="00A06822"/>
    <w:rsid w:val="00A06A83"/>
    <w:rsid w:val="00A06B4B"/>
    <w:rsid w:val="00A06E36"/>
    <w:rsid w:val="00A07271"/>
    <w:rsid w:val="00A0728C"/>
    <w:rsid w:val="00A07865"/>
    <w:rsid w:val="00A078D5"/>
    <w:rsid w:val="00A07B5D"/>
    <w:rsid w:val="00A07B87"/>
    <w:rsid w:val="00A10561"/>
    <w:rsid w:val="00A10834"/>
    <w:rsid w:val="00A1092A"/>
    <w:rsid w:val="00A10C5B"/>
    <w:rsid w:val="00A10CEB"/>
    <w:rsid w:val="00A11CCD"/>
    <w:rsid w:val="00A11D13"/>
    <w:rsid w:val="00A11D8D"/>
    <w:rsid w:val="00A11EC2"/>
    <w:rsid w:val="00A1236E"/>
    <w:rsid w:val="00A12688"/>
    <w:rsid w:val="00A12716"/>
    <w:rsid w:val="00A128C7"/>
    <w:rsid w:val="00A128F6"/>
    <w:rsid w:val="00A13468"/>
    <w:rsid w:val="00A136B5"/>
    <w:rsid w:val="00A13732"/>
    <w:rsid w:val="00A14413"/>
    <w:rsid w:val="00A14505"/>
    <w:rsid w:val="00A14602"/>
    <w:rsid w:val="00A148F4"/>
    <w:rsid w:val="00A1499D"/>
    <w:rsid w:val="00A1521D"/>
    <w:rsid w:val="00A15829"/>
    <w:rsid w:val="00A15A22"/>
    <w:rsid w:val="00A16A38"/>
    <w:rsid w:val="00A1702D"/>
    <w:rsid w:val="00A1780F"/>
    <w:rsid w:val="00A179E0"/>
    <w:rsid w:val="00A17E8F"/>
    <w:rsid w:val="00A204C3"/>
    <w:rsid w:val="00A2056D"/>
    <w:rsid w:val="00A20902"/>
    <w:rsid w:val="00A20EB8"/>
    <w:rsid w:val="00A21776"/>
    <w:rsid w:val="00A22362"/>
    <w:rsid w:val="00A22DDA"/>
    <w:rsid w:val="00A2315D"/>
    <w:rsid w:val="00A23792"/>
    <w:rsid w:val="00A23A9B"/>
    <w:rsid w:val="00A23B6E"/>
    <w:rsid w:val="00A245CF"/>
    <w:rsid w:val="00A24F13"/>
    <w:rsid w:val="00A24FF5"/>
    <w:rsid w:val="00A2517E"/>
    <w:rsid w:val="00A253F2"/>
    <w:rsid w:val="00A25526"/>
    <w:rsid w:val="00A25B03"/>
    <w:rsid w:val="00A25C12"/>
    <w:rsid w:val="00A25D13"/>
    <w:rsid w:val="00A2644A"/>
    <w:rsid w:val="00A26612"/>
    <w:rsid w:val="00A27217"/>
    <w:rsid w:val="00A27759"/>
    <w:rsid w:val="00A27910"/>
    <w:rsid w:val="00A27A84"/>
    <w:rsid w:val="00A27BC2"/>
    <w:rsid w:val="00A30348"/>
    <w:rsid w:val="00A303A7"/>
    <w:rsid w:val="00A3058E"/>
    <w:rsid w:val="00A3066C"/>
    <w:rsid w:val="00A31111"/>
    <w:rsid w:val="00A3132A"/>
    <w:rsid w:val="00A3192A"/>
    <w:rsid w:val="00A31AB9"/>
    <w:rsid w:val="00A31D55"/>
    <w:rsid w:val="00A3252B"/>
    <w:rsid w:val="00A3256E"/>
    <w:rsid w:val="00A3268A"/>
    <w:rsid w:val="00A3277A"/>
    <w:rsid w:val="00A32A30"/>
    <w:rsid w:val="00A330E0"/>
    <w:rsid w:val="00A333E9"/>
    <w:rsid w:val="00A34135"/>
    <w:rsid w:val="00A3422D"/>
    <w:rsid w:val="00A34429"/>
    <w:rsid w:val="00A34EAC"/>
    <w:rsid w:val="00A350A7"/>
    <w:rsid w:val="00A3531C"/>
    <w:rsid w:val="00A35A7B"/>
    <w:rsid w:val="00A35C1A"/>
    <w:rsid w:val="00A35E63"/>
    <w:rsid w:val="00A35E74"/>
    <w:rsid w:val="00A360BA"/>
    <w:rsid w:val="00A36214"/>
    <w:rsid w:val="00A365B7"/>
    <w:rsid w:val="00A36921"/>
    <w:rsid w:val="00A36ACF"/>
    <w:rsid w:val="00A36DB9"/>
    <w:rsid w:val="00A36E7E"/>
    <w:rsid w:val="00A374DA"/>
    <w:rsid w:val="00A376B5"/>
    <w:rsid w:val="00A376F0"/>
    <w:rsid w:val="00A37CA8"/>
    <w:rsid w:val="00A37E9A"/>
    <w:rsid w:val="00A4032E"/>
    <w:rsid w:val="00A40335"/>
    <w:rsid w:val="00A4074B"/>
    <w:rsid w:val="00A409DE"/>
    <w:rsid w:val="00A40A5B"/>
    <w:rsid w:val="00A40E72"/>
    <w:rsid w:val="00A40EA3"/>
    <w:rsid w:val="00A412E8"/>
    <w:rsid w:val="00A41940"/>
    <w:rsid w:val="00A41D16"/>
    <w:rsid w:val="00A41D3C"/>
    <w:rsid w:val="00A4202F"/>
    <w:rsid w:val="00A4211C"/>
    <w:rsid w:val="00A426B5"/>
    <w:rsid w:val="00A428DF"/>
    <w:rsid w:val="00A429AF"/>
    <w:rsid w:val="00A42C0C"/>
    <w:rsid w:val="00A43D5A"/>
    <w:rsid w:val="00A44225"/>
    <w:rsid w:val="00A442CF"/>
    <w:rsid w:val="00A44853"/>
    <w:rsid w:val="00A44986"/>
    <w:rsid w:val="00A44ACB"/>
    <w:rsid w:val="00A44FE6"/>
    <w:rsid w:val="00A4500D"/>
    <w:rsid w:val="00A45B62"/>
    <w:rsid w:val="00A46808"/>
    <w:rsid w:val="00A46FAC"/>
    <w:rsid w:val="00A47037"/>
    <w:rsid w:val="00A47315"/>
    <w:rsid w:val="00A47590"/>
    <w:rsid w:val="00A47F07"/>
    <w:rsid w:val="00A507ED"/>
    <w:rsid w:val="00A50C6E"/>
    <w:rsid w:val="00A50DEB"/>
    <w:rsid w:val="00A50F4B"/>
    <w:rsid w:val="00A51125"/>
    <w:rsid w:val="00A514FD"/>
    <w:rsid w:val="00A51598"/>
    <w:rsid w:val="00A519F1"/>
    <w:rsid w:val="00A51DE0"/>
    <w:rsid w:val="00A520D8"/>
    <w:rsid w:val="00A5229C"/>
    <w:rsid w:val="00A52403"/>
    <w:rsid w:val="00A52CDC"/>
    <w:rsid w:val="00A52DBF"/>
    <w:rsid w:val="00A533D1"/>
    <w:rsid w:val="00A53BC7"/>
    <w:rsid w:val="00A53D11"/>
    <w:rsid w:val="00A53F50"/>
    <w:rsid w:val="00A54350"/>
    <w:rsid w:val="00A5460E"/>
    <w:rsid w:val="00A54A39"/>
    <w:rsid w:val="00A54AF3"/>
    <w:rsid w:val="00A54C76"/>
    <w:rsid w:val="00A55680"/>
    <w:rsid w:val="00A5584B"/>
    <w:rsid w:val="00A55A4C"/>
    <w:rsid w:val="00A55B7F"/>
    <w:rsid w:val="00A55BAC"/>
    <w:rsid w:val="00A55D9A"/>
    <w:rsid w:val="00A56003"/>
    <w:rsid w:val="00A5668E"/>
    <w:rsid w:val="00A56DF3"/>
    <w:rsid w:val="00A56EB2"/>
    <w:rsid w:val="00A571FF"/>
    <w:rsid w:val="00A57366"/>
    <w:rsid w:val="00A5746E"/>
    <w:rsid w:val="00A57A49"/>
    <w:rsid w:val="00A57A67"/>
    <w:rsid w:val="00A57F9B"/>
    <w:rsid w:val="00A602DA"/>
    <w:rsid w:val="00A60413"/>
    <w:rsid w:val="00A604D5"/>
    <w:rsid w:val="00A607D5"/>
    <w:rsid w:val="00A609A6"/>
    <w:rsid w:val="00A60D90"/>
    <w:rsid w:val="00A60E43"/>
    <w:rsid w:val="00A6111B"/>
    <w:rsid w:val="00A612E4"/>
    <w:rsid w:val="00A61484"/>
    <w:rsid w:val="00A61D96"/>
    <w:rsid w:val="00A62247"/>
    <w:rsid w:val="00A6233B"/>
    <w:rsid w:val="00A62E96"/>
    <w:rsid w:val="00A6366F"/>
    <w:rsid w:val="00A63BD9"/>
    <w:rsid w:val="00A63C60"/>
    <w:rsid w:val="00A63D15"/>
    <w:rsid w:val="00A64294"/>
    <w:rsid w:val="00A644D8"/>
    <w:rsid w:val="00A656A0"/>
    <w:rsid w:val="00A65858"/>
    <w:rsid w:val="00A65CA7"/>
    <w:rsid w:val="00A65D5C"/>
    <w:rsid w:val="00A665F4"/>
    <w:rsid w:val="00A66F04"/>
    <w:rsid w:val="00A67D5F"/>
    <w:rsid w:val="00A70087"/>
    <w:rsid w:val="00A70294"/>
    <w:rsid w:val="00A702D3"/>
    <w:rsid w:val="00A7109C"/>
    <w:rsid w:val="00A71572"/>
    <w:rsid w:val="00A716A2"/>
    <w:rsid w:val="00A71DAA"/>
    <w:rsid w:val="00A71F8A"/>
    <w:rsid w:val="00A72178"/>
    <w:rsid w:val="00A72197"/>
    <w:rsid w:val="00A727F0"/>
    <w:rsid w:val="00A72823"/>
    <w:rsid w:val="00A72845"/>
    <w:rsid w:val="00A728B8"/>
    <w:rsid w:val="00A72A72"/>
    <w:rsid w:val="00A72FDA"/>
    <w:rsid w:val="00A733B0"/>
    <w:rsid w:val="00A738AF"/>
    <w:rsid w:val="00A73985"/>
    <w:rsid w:val="00A739D2"/>
    <w:rsid w:val="00A73C54"/>
    <w:rsid w:val="00A75824"/>
    <w:rsid w:val="00A75C63"/>
    <w:rsid w:val="00A75D3D"/>
    <w:rsid w:val="00A75EE5"/>
    <w:rsid w:val="00A75EFC"/>
    <w:rsid w:val="00A76228"/>
    <w:rsid w:val="00A76687"/>
    <w:rsid w:val="00A76D3B"/>
    <w:rsid w:val="00A77AFC"/>
    <w:rsid w:val="00A801D5"/>
    <w:rsid w:val="00A804B6"/>
    <w:rsid w:val="00A8091D"/>
    <w:rsid w:val="00A80BAC"/>
    <w:rsid w:val="00A80CE0"/>
    <w:rsid w:val="00A810ED"/>
    <w:rsid w:val="00A81391"/>
    <w:rsid w:val="00A81832"/>
    <w:rsid w:val="00A8184D"/>
    <w:rsid w:val="00A82108"/>
    <w:rsid w:val="00A82362"/>
    <w:rsid w:val="00A8239B"/>
    <w:rsid w:val="00A8253B"/>
    <w:rsid w:val="00A8284C"/>
    <w:rsid w:val="00A82869"/>
    <w:rsid w:val="00A828A0"/>
    <w:rsid w:val="00A82BAE"/>
    <w:rsid w:val="00A82C42"/>
    <w:rsid w:val="00A833F2"/>
    <w:rsid w:val="00A834C3"/>
    <w:rsid w:val="00A83755"/>
    <w:rsid w:val="00A83D78"/>
    <w:rsid w:val="00A83DA4"/>
    <w:rsid w:val="00A83E00"/>
    <w:rsid w:val="00A83F2B"/>
    <w:rsid w:val="00A8404C"/>
    <w:rsid w:val="00A8497C"/>
    <w:rsid w:val="00A84B77"/>
    <w:rsid w:val="00A85043"/>
    <w:rsid w:val="00A850CB"/>
    <w:rsid w:val="00A8534B"/>
    <w:rsid w:val="00A8547E"/>
    <w:rsid w:val="00A85685"/>
    <w:rsid w:val="00A856F7"/>
    <w:rsid w:val="00A85B0F"/>
    <w:rsid w:val="00A8652F"/>
    <w:rsid w:val="00A86600"/>
    <w:rsid w:val="00A86869"/>
    <w:rsid w:val="00A8698F"/>
    <w:rsid w:val="00A869CA"/>
    <w:rsid w:val="00A869F6"/>
    <w:rsid w:val="00A87089"/>
    <w:rsid w:val="00A871F7"/>
    <w:rsid w:val="00A8780D"/>
    <w:rsid w:val="00A87A56"/>
    <w:rsid w:val="00A90537"/>
    <w:rsid w:val="00A90870"/>
    <w:rsid w:val="00A92391"/>
    <w:rsid w:val="00A9242B"/>
    <w:rsid w:val="00A9279E"/>
    <w:rsid w:val="00A927B8"/>
    <w:rsid w:val="00A92DC8"/>
    <w:rsid w:val="00A93251"/>
    <w:rsid w:val="00A93300"/>
    <w:rsid w:val="00A93323"/>
    <w:rsid w:val="00A93AAD"/>
    <w:rsid w:val="00A93AEE"/>
    <w:rsid w:val="00A941BD"/>
    <w:rsid w:val="00A942DA"/>
    <w:rsid w:val="00A944A9"/>
    <w:rsid w:val="00A9455A"/>
    <w:rsid w:val="00A94E0A"/>
    <w:rsid w:val="00A95223"/>
    <w:rsid w:val="00A95430"/>
    <w:rsid w:val="00A95750"/>
    <w:rsid w:val="00A957E1"/>
    <w:rsid w:val="00A95A15"/>
    <w:rsid w:val="00A95D42"/>
    <w:rsid w:val="00A95D57"/>
    <w:rsid w:val="00A95D60"/>
    <w:rsid w:val="00A95FF4"/>
    <w:rsid w:val="00A9600D"/>
    <w:rsid w:val="00A9670E"/>
    <w:rsid w:val="00A96848"/>
    <w:rsid w:val="00A96BE9"/>
    <w:rsid w:val="00A96CBD"/>
    <w:rsid w:val="00A974D6"/>
    <w:rsid w:val="00A97885"/>
    <w:rsid w:val="00A97A26"/>
    <w:rsid w:val="00A97A59"/>
    <w:rsid w:val="00AA015D"/>
    <w:rsid w:val="00AA06FF"/>
    <w:rsid w:val="00AA0D48"/>
    <w:rsid w:val="00AA0E51"/>
    <w:rsid w:val="00AA1239"/>
    <w:rsid w:val="00AA1AFD"/>
    <w:rsid w:val="00AA261E"/>
    <w:rsid w:val="00AA26E6"/>
    <w:rsid w:val="00AA2EDB"/>
    <w:rsid w:val="00AA31D1"/>
    <w:rsid w:val="00AA32EA"/>
    <w:rsid w:val="00AA34D3"/>
    <w:rsid w:val="00AA3616"/>
    <w:rsid w:val="00AA4058"/>
    <w:rsid w:val="00AA4609"/>
    <w:rsid w:val="00AA4F82"/>
    <w:rsid w:val="00AA5433"/>
    <w:rsid w:val="00AA5533"/>
    <w:rsid w:val="00AA561C"/>
    <w:rsid w:val="00AA5A36"/>
    <w:rsid w:val="00AA6255"/>
    <w:rsid w:val="00AA653A"/>
    <w:rsid w:val="00AA65BE"/>
    <w:rsid w:val="00AA66D2"/>
    <w:rsid w:val="00AA6751"/>
    <w:rsid w:val="00AA6C1B"/>
    <w:rsid w:val="00AA6FF9"/>
    <w:rsid w:val="00AA7196"/>
    <w:rsid w:val="00AA72E5"/>
    <w:rsid w:val="00AA77CE"/>
    <w:rsid w:val="00AA7AB0"/>
    <w:rsid w:val="00AB015D"/>
    <w:rsid w:val="00AB06B1"/>
    <w:rsid w:val="00AB06FC"/>
    <w:rsid w:val="00AB07DC"/>
    <w:rsid w:val="00AB0920"/>
    <w:rsid w:val="00AB0CD4"/>
    <w:rsid w:val="00AB17FF"/>
    <w:rsid w:val="00AB1B3D"/>
    <w:rsid w:val="00AB1BA4"/>
    <w:rsid w:val="00AB1C6F"/>
    <w:rsid w:val="00AB1C98"/>
    <w:rsid w:val="00AB219E"/>
    <w:rsid w:val="00AB2837"/>
    <w:rsid w:val="00AB3034"/>
    <w:rsid w:val="00AB3AD8"/>
    <w:rsid w:val="00AB40AB"/>
    <w:rsid w:val="00AB40E5"/>
    <w:rsid w:val="00AB4262"/>
    <w:rsid w:val="00AB4285"/>
    <w:rsid w:val="00AB43E6"/>
    <w:rsid w:val="00AB499E"/>
    <w:rsid w:val="00AB4B52"/>
    <w:rsid w:val="00AB4C5E"/>
    <w:rsid w:val="00AB4CCB"/>
    <w:rsid w:val="00AB51CA"/>
    <w:rsid w:val="00AB585E"/>
    <w:rsid w:val="00AB5A23"/>
    <w:rsid w:val="00AB5A48"/>
    <w:rsid w:val="00AB5BB5"/>
    <w:rsid w:val="00AB5C09"/>
    <w:rsid w:val="00AB5C99"/>
    <w:rsid w:val="00AB5DCC"/>
    <w:rsid w:val="00AB603D"/>
    <w:rsid w:val="00AB6395"/>
    <w:rsid w:val="00AB6852"/>
    <w:rsid w:val="00AB6C29"/>
    <w:rsid w:val="00AB6EB4"/>
    <w:rsid w:val="00AB70CA"/>
    <w:rsid w:val="00AB77A3"/>
    <w:rsid w:val="00AB77CA"/>
    <w:rsid w:val="00AB7A39"/>
    <w:rsid w:val="00AB7B2D"/>
    <w:rsid w:val="00AB7D53"/>
    <w:rsid w:val="00AC0128"/>
    <w:rsid w:val="00AC02F8"/>
    <w:rsid w:val="00AC0ECF"/>
    <w:rsid w:val="00AC11D9"/>
    <w:rsid w:val="00AC1931"/>
    <w:rsid w:val="00AC1BD3"/>
    <w:rsid w:val="00AC1E53"/>
    <w:rsid w:val="00AC1F09"/>
    <w:rsid w:val="00AC1F71"/>
    <w:rsid w:val="00AC210E"/>
    <w:rsid w:val="00AC220C"/>
    <w:rsid w:val="00AC221C"/>
    <w:rsid w:val="00AC24BC"/>
    <w:rsid w:val="00AC2520"/>
    <w:rsid w:val="00AC2D3B"/>
    <w:rsid w:val="00AC2D6D"/>
    <w:rsid w:val="00AC2E7A"/>
    <w:rsid w:val="00AC2F2E"/>
    <w:rsid w:val="00AC302E"/>
    <w:rsid w:val="00AC307D"/>
    <w:rsid w:val="00AC32AF"/>
    <w:rsid w:val="00AC3344"/>
    <w:rsid w:val="00AC33E0"/>
    <w:rsid w:val="00AC3548"/>
    <w:rsid w:val="00AC3BBE"/>
    <w:rsid w:val="00AC4301"/>
    <w:rsid w:val="00AC4392"/>
    <w:rsid w:val="00AC4484"/>
    <w:rsid w:val="00AC4762"/>
    <w:rsid w:val="00AC4B0B"/>
    <w:rsid w:val="00AC4D7B"/>
    <w:rsid w:val="00AC5592"/>
    <w:rsid w:val="00AC61E6"/>
    <w:rsid w:val="00AC64E4"/>
    <w:rsid w:val="00AC65DF"/>
    <w:rsid w:val="00AC6A54"/>
    <w:rsid w:val="00AC70BF"/>
    <w:rsid w:val="00AC7426"/>
    <w:rsid w:val="00AC77CD"/>
    <w:rsid w:val="00AC791B"/>
    <w:rsid w:val="00AC7CCB"/>
    <w:rsid w:val="00AD047E"/>
    <w:rsid w:val="00AD0966"/>
    <w:rsid w:val="00AD0BFB"/>
    <w:rsid w:val="00AD13D3"/>
    <w:rsid w:val="00AD154C"/>
    <w:rsid w:val="00AD154F"/>
    <w:rsid w:val="00AD1862"/>
    <w:rsid w:val="00AD19FA"/>
    <w:rsid w:val="00AD209F"/>
    <w:rsid w:val="00AD278A"/>
    <w:rsid w:val="00AD313D"/>
    <w:rsid w:val="00AD349F"/>
    <w:rsid w:val="00AD402C"/>
    <w:rsid w:val="00AD4223"/>
    <w:rsid w:val="00AD43DE"/>
    <w:rsid w:val="00AD46D1"/>
    <w:rsid w:val="00AD47DC"/>
    <w:rsid w:val="00AD4D58"/>
    <w:rsid w:val="00AD53C3"/>
    <w:rsid w:val="00AD5BDB"/>
    <w:rsid w:val="00AD5D16"/>
    <w:rsid w:val="00AD5DB3"/>
    <w:rsid w:val="00AD6343"/>
    <w:rsid w:val="00AD6BA0"/>
    <w:rsid w:val="00AD762A"/>
    <w:rsid w:val="00AD78EE"/>
    <w:rsid w:val="00AD7C08"/>
    <w:rsid w:val="00AE0033"/>
    <w:rsid w:val="00AE01B7"/>
    <w:rsid w:val="00AE0301"/>
    <w:rsid w:val="00AE07BF"/>
    <w:rsid w:val="00AE08F4"/>
    <w:rsid w:val="00AE0BF9"/>
    <w:rsid w:val="00AE1583"/>
    <w:rsid w:val="00AE1637"/>
    <w:rsid w:val="00AE1864"/>
    <w:rsid w:val="00AE1CAE"/>
    <w:rsid w:val="00AE1E9D"/>
    <w:rsid w:val="00AE20C9"/>
    <w:rsid w:val="00AE23DA"/>
    <w:rsid w:val="00AE260E"/>
    <w:rsid w:val="00AE29F3"/>
    <w:rsid w:val="00AE36CC"/>
    <w:rsid w:val="00AE389C"/>
    <w:rsid w:val="00AE3AEA"/>
    <w:rsid w:val="00AE3D53"/>
    <w:rsid w:val="00AE3EA3"/>
    <w:rsid w:val="00AE4073"/>
    <w:rsid w:val="00AE4815"/>
    <w:rsid w:val="00AE4A89"/>
    <w:rsid w:val="00AE5391"/>
    <w:rsid w:val="00AE53B7"/>
    <w:rsid w:val="00AE5BC3"/>
    <w:rsid w:val="00AE6115"/>
    <w:rsid w:val="00AE62C7"/>
    <w:rsid w:val="00AE65DB"/>
    <w:rsid w:val="00AE665A"/>
    <w:rsid w:val="00AE6715"/>
    <w:rsid w:val="00AE6C8F"/>
    <w:rsid w:val="00AE6F9D"/>
    <w:rsid w:val="00AE7304"/>
    <w:rsid w:val="00AE75ED"/>
    <w:rsid w:val="00AE7ADA"/>
    <w:rsid w:val="00AF096D"/>
    <w:rsid w:val="00AF09FB"/>
    <w:rsid w:val="00AF0AD2"/>
    <w:rsid w:val="00AF0C5F"/>
    <w:rsid w:val="00AF0EB1"/>
    <w:rsid w:val="00AF0F24"/>
    <w:rsid w:val="00AF179F"/>
    <w:rsid w:val="00AF1953"/>
    <w:rsid w:val="00AF1E97"/>
    <w:rsid w:val="00AF2B93"/>
    <w:rsid w:val="00AF34B0"/>
    <w:rsid w:val="00AF3841"/>
    <w:rsid w:val="00AF3BF8"/>
    <w:rsid w:val="00AF3DC5"/>
    <w:rsid w:val="00AF3E37"/>
    <w:rsid w:val="00AF40C6"/>
    <w:rsid w:val="00AF4834"/>
    <w:rsid w:val="00AF4844"/>
    <w:rsid w:val="00AF490E"/>
    <w:rsid w:val="00AF4C6D"/>
    <w:rsid w:val="00AF5256"/>
    <w:rsid w:val="00AF53A1"/>
    <w:rsid w:val="00AF61E5"/>
    <w:rsid w:val="00AF61EC"/>
    <w:rsid w:val="00AF6493"/>
    <w:rsid w:val="00AF6BD9"/>
    <w:rsid w:val="00AF6CC8"/>
    <w:rsid w:val="00AF6E6C"/>
    <w:rsid w:val="00AF7049"/>
    <w:rsid w:val="00AF74CA"/>
    <w:rsid w:val="00AF7575"/>
    <w:rsid w:val="00AF769A"/>
    <w:rsid w:val="00B000E7"/>
    <w:rsid w:val="00B00208"/>
    <w:rsid w:val="00B00559"/>
    <w:rsid w:val="00B00739"/>
    <w:rsid w:val="00B00787"/>
    <w:rsid w:val="00B00B20"/>
    <w:rsid w:val="00B00D06"/>
    <w:rsid w:val="00B00D51"/>
    <w:rsid w:val="00B00DAE"/>
    <w:rsid w:val="00B00E12"/>
    <w:rsid w:val="00B00E70"/>
    <w:rsid w:val="00B00F98"/>
    <w:rsid w:val="00B00FD9"/>
    <w:rsid w:val="00B01247"/>
    <w:rsid w:val="00B01B0B"/>
    <w:rsid w:val="00B01B85"/>
    <w:rsid w:val="00B01DCB"/>
    <w:rsid w:val="00B01F01"/>
    <w:rsid w:val="00B020C3"/>
    <w:rsid w:val="00B0210F"/>
    <w:rsid w:val="00B0227E"/>
    <w:rsid w:val="00B02624"/>
    <w:rsid w:val="00B02D24"/>
    <w:rsid w:val="00B02D62"/>
    <w:rsid w:val="00B030AD"/>
    <w:rsid w:val="00B035AA"/>
    <w:rsid w:val="00B03894"/>
    <w:rsid w:val="00B038EB"/>
    <w:rsid w:val="00B03B5C"/>
    <w:rsid w:val="00B03E1C"/>
    <w:rsid w:val="00B03F19"/>
    <w:rsid w:val="00B04257"/>
    <w:rsid w:val="00B04FAF"/>
    <w:rsid w:val="00B0548B"/>
    <w:rsid w:val="00B05618"/>
    <w:rsid w:val="00B057D9"/>
    <w:rsid w:val="00B059D0"/>
    <w:rsid w:val="00B06095"/>
    <w:rsid w:val="00B064D1"/>
    <w:rsid w:val="00B06CAA"/>
    <w:rsid w:val="00B06D66"/>
    <w:rsid w:val="00B06DF1"/>
    <w:rsid w:val="00B07002"/>
    <w:rsid w:val="00B07205"/>
    <w:rsid w:val="00B07528"/>
    <w:rsid w:val="00B07550"/>
    <w:rsid w:val="00B07683"/>
    <w:rsid w:val="00B07AE1"/>
    <w:rsid w:val="00B07F25"/>
    <w:rsid w:val="00B10B5F"/>
    <w:rsid w:val="00B10D4D"/>
    <w:rsid w:val="00B110B2"/>
    <w:rsid w:val="00B11783"/>
    <w:rsid w:val="00B118F8"/>
    <w:rsid w:val="00B11994"/>
    <w:rsid w:val="00B119D6"/>
    <w:rsid w:val="00B120D6"/>
    <w:rsid w:val="00B127F7"/>
    <w:rsid w:val="00B1281B"/>
    <w:rsid w:val="00B12D74"/>
    <w:rsid w:val="00B12EF5"/>
    <w:rsid w:val="00B136E9"/>
    <w:rsid w:val="00B13E21"/>
    <w:rsid w:val="00B14975"/>
    <w:rsid w:val="00B14C67"/>
    <w:rsid w:val="00B14E1E"/>
    <w:rsid w:val="00B15C71"/>
    <w:rsid w:val="00B15DAD"/>
    <w:rsid w:val="00B160D7"/>
    <w:rsid w:val="00B16156"/>
    <w:rsid w:val="00B162D2"/>
    <w:rsid w:val="00B16621"/>
    <w:rsid w:val="00B16F27"/>
    <w:rsid w:val="00B17119"/>
    <w:rsid w:val="00B17144"/>
    <w:rsid w:val="00B171F7"/>
    <w:rsid w:val="00B1784E"/>
    <w:rsid w:val="00B17B2C"/>
    <w:rsid w:val="00B17C83"/>
    <w:rsid w:val="00B17DDB"/>
    <w:rsid w:val="00B17E77"/>
    <w:rsid w:val="00B20420"/>
    <w:rsid w:val="00B20629"/>
    <w:rsid w:val="00B21179"/>
    <w:rsid w:val="00B211D7"/>
    <w:rsid w:val="00B2167D"/>
    <w:rsid w:val="00B222FD"/>
    <w:rsid w:val="00B22416"/>
    <w:rsid w:val="00B22466"/>
    <w:rsid w:val="00B226CB"/>
    <w:rsid w:val="00B22D57"/>
    <w:rsid w:val="00B23050"/>
    <w:rsid w:val="00B23116"/>
    <w:rsid w:val="00B23734"/>
    <w:rsid w:val="00B23B85"/>
    <w:rsid w:val="00B23BEA"/>
    <w:rsid w:val="00B23D51"/>
    <w:rsid w:val="00B23DB1"/>
    <w:rsid w:val="00B23E7B"/>
    <w:rsid w:val="00B2414E"/>
    <w:rsid w:val="00B2454D"/>
    <w:rsid w:val="00B246BE"/>
    <w:rsid w:val="00B247EF"/>
    <w:rsid w:val="00B24B2C"/>
    <w:rsid w:val="00B25A3B"/>
    <w:rsid w:val="00B25A6A"/>
    <w:rsid w:val="00B2619B"/>
    <w:rsid w:val="00B264E2"/>
    <w:rsid w:val="00B26566"/>
    <w:rsid w:val="00B26B1D"/>
    <w:rsid w:val="00B2738C"/>
    <w:rsid w:val="00B279CF"/>
    <w:rsid w:val="00B27BB3"/>
    <w:rsid w:val="00B27C16"/>
    <w:rsid w:val="00B3064F"/>
    <w:rsid w:val="00B3140C"/>
    <w:rsid w:val="00B3141F"/>
    <w:rsid w:val="00B31766"/>
    <w:rsid w:val="00B322FB"/>
    <w:rsid w:val="00B3276C"/>
    <w:rsid w:val="00B32B8A"/>
    <w:rsid w:val="00B32C94"/>
    <w:rsid w:val="00B32CE8"/>
    <w:rsid w:val="00B32F25"/>
    <w:rsid w:val="00B3356A"/>
    <w:rsid w:val="00B335D3"/>
    <w:rsid w:val="00B33CEE"/>
    <w:rsid w:val="00B3421F"/>
    <w:rsid w:val="00B34298"/>
    <w:rsid w:val="00B3442E"/>
    <w:rsid w:val="00B34B00"/>
    <w:rsid w:val="00B3509D"/>
    <w:rsid w:val="00B354B3"/>
    <w:rsid w:val="00B355E1"/>
    <w:rsid w:val="00B36259"/>
    <w:rsid w:val="00B362BE"/>
    <w:rsid w:val="00B363EC"/>
    <w:rsid w:val="00B3643A"/>
    <w:rsid w:val="00B365FE"/>
    <w:rsid w:val="00B36ABB"/>
    <w:rsid w:val="00B36D67"/>
    <w:rsid w:val="00B36E5C"/>
    <w:rsid w:val="00B3712F"/>
    <w:rsid w:val="00B372A1"/>
    <w:rsid w:val="00B37405"/>
    <w:rsid w:val="00B37BA6"/>
    <w:rsid w:val="00B37DB9"/>
    <w:rsid w:val="00B4010C"/>
    <w:rsid w:val="00B40793"/>
    <w:rsid w:val="00B40D78"/>
    <w:rsid w:val="00B40FB3"/>
    <w:rsid w:val="00B4151B"/>
    <w:rsid w:val="00B41844"/>
    <w:rsid w:val="00B41F59"/>
    <w:rsid w:val="00B4290F"/>
    <w:rsid w:val="00B42B80"/>
    <w:rsid w:val="00B4345C"/>
    <w:rsid w:val="00B43CDD"/>
    <w:rsid w:val="00B442F3"/>
    <w:rsid w:val="00B449BF"/>
    <w:rsid w:val="00B44E23"/>
    <w:rsid w:val="00B44E4A"/>
    <w:rsid w:val="00B453F0"/>
    <w:rsid w:val="00B45B3D"/>
    <w:rsid w:val="00B45CC9"/>
    <w:rsid w:val="00B45D79"/>
    <w:rsid w:val="00B45ED3"/>
    <w:rsid w:val="00B45F2A"/>
    <w:rsid w:val="00B45F94"/>
    <w:rsid w:val="00B460D1"/>
    <w:rsid w:val="00B4623F"/>
    <w:rsid w:val="00B46B4E"/>
    <w:rsid w:val="00B46C9D"/>
    <w:rsid w:val="00B47558"/>
    <w:rsid w:val="00B475A1"/>
    <w:rsid w:val="00B4762E"/>
    <w:rsid w:val="00B4768F"/>
    <w:rsid w:val="00B47DE0"/>
    <w:rsid w:val="00B47EC6"/>
    <w:rsid w:val="00B50535"/>
    <w:rsid w:val="00B505B9"/>
    <w:rsid w:val="00B505DA"/>
    <w:rsid w:val="00B50D31"/>
    <w:rsid w:val="00B50FA8"/>
    <w:rsid w:val="00B510A2"/>
    <w:rsid w:val="00B510D3"/>
    <w:rsid w:val="00B51160"/>
    <w:rsid w:val="00B51489"/>
    <w:rsid w:val="00B5151D"/>
    <w:rsid w:val="00B51D06"/>
    <w:rsid w:val="00B520E4"/>
    <w:rsid w:val="00B52249"/>
    <w:rsid w:val="00B527CB"/>
    <w:rsid w:val="00B5318A"/>
    <w:rsid w:val="00B5350A"/>
    <w:rsid w:val="00B53695"/>
    <w:rsid w:val="00B5369C"/>
    <w:rsid w:val="00B54371"/>
    <w:rsid w:val="00B54399"/>
    <w:rsid w:val="00B54422"/>
    <w:rsid w:val="00B54851"/>
    <w:rsid w:val="00B54A03"/>
    <w:rsid w:val="00B54A3D"/>
    <w:rsid w:val="00B54AF1"/>
    <w:rsid w:val="00B5509C"/>
    <w:rsid w:val="00B5521E"/>
    <w:rsid w:val="00B555B3"/>
    <w:rsid w:val="00B555F1"/>
    <w:rsid w:val="00B5572E"/>
    <w:rsid w:val="00B55777"/>
    <w:rsid w:val="00B55B66"/>
    <w:rsid w:val="00B55BBC"/>
    <w:rsid w:val="00B55EAF"/>
    <w:rsid w:val="00B560CD"/>
    <w:rsid w:val="00B561A6"/>
    <w:rsid w:val="00B561B3"/>
    <w:rsid w:val="00B56784"/>
    <w:rsid w:val="00B56CDC"/>
    <w:rsid w:val="00B56D8C"/>
    <w:rsid w:val="00B56E7B"/>
    <w:rsid w:val="00B570B7"/>
    <w:rsid w:val="00B574A7"/>
    <w:rsid w:val="00B57609"/>
    <w:rsid w:val="00B5778F"/>
    <w:rsid w:val="00B57AA9"/>
    <w:rsid w:val="00B57DCC"/>
    <w:rsid w:val="00B60941"/>
    <w:rsid w:val="00B60994"/>
    <w:rsid w:val="00B60E26"/>
    <w:rsid w:val="00B6149A"/>
    <w:rsid w:val="00B614C5"/>
    <w:rsid w:val="00B616D4"/>
    <w:rsid w:val="00B61DF9"/>
    <w:rsid w:val="00B61FE6"/>
    <w:rsid w:val="00B62103"/>
    <w:rsid w:val="00B621B4"/>
    <w:rsid w:val="00B62353"/>
    <w:rsid w:val="00B624DB"/>
    <w:rsid w:val="00B625D2"/>
    <w:rsid w:val="00B6273C"/>
    <w:rsid w:val="00B636C0"/>
    <w:rsid w:val="00B638D7"/>
    <w:rsid w:val="00B63CEA"/>
    <w:rsid w:val="00B63EAD"/>
    <w:rsid w:val="00B6412E"/>
    <w:rsid w:val="00B6431E"/>
    <w:rsid w:val="00B645DE"/>
    <w:rsid w:val="00B64CED"/>
    <w:rsid w:val="00B64ECB"/>
    <w:rsid w:val="00B64F9D"/>
    <w:rsid w:val="00B65859"/>
    <w:rsid w:val="00B65A48"/>
    <w:rsid w:val="00B662CC"/>
    <w:rsid w:val="00B66C20"/>
    <w:rsid w:val="00B67127"/>
    <w:rsid w:val="00B67569"/>
    <w:rsid w:val="00B67611"/>
    <w:rsid w:val="00B67730"/>
    <w:rsid w:val="00B67740"/>
    <w:rsid w:val="00B67887"/>
    <w:rsid w:val="00B67C1C"/>
    <w:rsid w:val="00B67C4C"/>
    <w:rsid w:val="00B67F68"/>
    <w:rsid w:val="00B67FA3"/>
    <w:rsid w:val="00B70120"/>
    <w:rsid w:val="00B70518"/>
    <w:rsid w:val="00B70B35"/>
    <w:rsid w:val="00B70C48"/>
    <w:rsid w:val="00B70FB6"/>
    <w:rsid w:val="00B71885"/>
    <w:rsid w:val="00B71ABE"/>
    <w:rsid w:val="00B71C5A"/>
    <w:rsid w:val="00B71E91"/>
    <w:rsid w:val="00B7220F"/>
    <w:rsid w:val="00B726AE"/>
    <w:rsid w:val="00B72AAB"/>
    <w:rsid w:val="00B72D3C"/>
    <w:rsid w:val="00B72DCF"/>
    <w:rsid w:val="00B72ED9"/>
    <w:rsid w:val="00B7390A"/>
    <w:rsid w:val="00B7399E"/>
    <w:rsid w:val="00B73C76"/>
    <w:rsid w:val="00B73D5A"/>
    <w:rsid w:val="00B73DD7"/>
    <w:rsid w:val="00B73EAE"/>
    <w:rsid w:val="00B74050"/>
    <w:rsid w:val="00B74130"/>
    <w:rsid w:val="00B74635"/>
    <w:rsid w:val="00B74B15"/>
    <w:rsid w:val="00B74C63"/>
    <w:rsid w:val="00B74D6E"/>
    <w:rsid w:val="00B7504C"/>
    <w:rsid w:val="00B75372"/>
    <w:rsid w:val="00B756F5"/>
    <w:rsid w:val="00B759D5"/>
    <w:rsid w:val="00B762AD"/>
    <w:rsid w:val="00B762FF"/>
    <w:rsid w:val="00B766D0"/>
    <w:rsid w:val="00B76AF0"/>
    <w:rsid w:val="00B76C51"/>
    <w:rsid w:val="00B76E50"/>
    <w:rsid w:val="00B76F27"/>
    <w:rsid w:val="00B76F8F"/>
    <w:rsid w:val="00B76F90"/>
    <w:rsid w:val="00B771DA"/>
    <w:rsid w:val="00B77DDD"/>
    <w:rsid w:val="00B77EA4"/>
    <w:rsid w:val="00B803C8"/>
    <w:rsid w:val="00B80715"/>
    <w:rsid w:val="00B81297"/>
    <w:rsid w:val="00B818D0"/>
    <w:rsid w:val="00B8197F"/>
    <w:rsid w:val="00B81A44"/>
    <w:rsid w:val="00B81BE2"/>
    <w:rsid w:val="00B81E57"/>
    <w:rsid w:val="00B8249C"/>
    <w:rsid w:val="00B8261D"/>
    <w:rsid w:val="00B82650"/>
    <w:rsid w:val="00B826A8"/>
    <w:rsid w:val="00B826C9"/>
    <w:rsid w:val="00B826F1"/>
    <w:rsid w:val="00B82C90"/>
    <w:rsid w:val="00B833FB"/>
    <w:rsid w:val="00B8394F"/>
    <w:rsid w:val="00B843BF"/>
    <w:rsid w:val="00B8450E"/>
    <w:rsid w:val="00B8472E"/>
    <w:rsid w:val="00B8494B"/>
    <w:rsid w:val="00B8526B"/>
    <w:rsid w:val="00B85642"/>
    <w:rsid w:val="00B860E1"/>
    <w:rsid w:val="00B862FB"/>
    <w:rsid w:val="00B86A9B"/>
    <w:rsid w:val="00B86C54"/>
    <w:rsid w:val="00B872B6"/>
    <w:rsid w:val="00B8774E"/>
    <w:rsid w:val="00B90265"/>
    <w:rsid w:val="00B9043E"/>
    <w:rsid w:val="00B904E7"/>
    <w:rsid w:val="00B9064A"/>
    <w:rsid w:val="00B91BE3"/>
    <w:rsid w:val="00B91C99"/>
    <w:rsid w:val="00B920AD"/>
    <w:rsid w:val="00B9220C"/>
    <w:rsid w:val="00B928F3"/>
    <w:rsid w:val="00B92925"/>
    <w:rsid w:val="00B92973"/>
    <w:rsid w:val="00B92AD9"/>
    <w:rsid w:val="00B92C97"/>
    <w:rsid w:val="00B92C9B"/>
    <w:rsid w:val="00B92EA9"/>
    <w:rsid w:val="00B930A7"/>
    <w:rsid w:val="00B934FD"/>
    <w:rsid w:val="00B93694"/>
    <w:rsid w:val="00B93898"/>
    <w:rsid w:val="00B93941"/>
    <w:rsid w:val="00B93A56"/>
    <w:rsid w:val="00B93A83"/>
    <w:rsid w:val="00B93F46"/>
    <w:rsid w:val="00B948FB"/>
    <w:rsid w:val="00B94C03"/>
    <w:rsid w:val="00B9501D"/>
    <w:rsid w:val="00B950E8"/>
    <w:rsid w:val="00B9551E"/>
    <w:rsid w:val="00B9581F"/>
    <w:rsid w:val="00B9583B"/>
    <w:rsid w:val="00B95A6D"/>
    <w:rsid w:val="00B96409"/>
    <w:rsid w:val="00B96659"/>
    <w:rsid w:val="00B967FB"/>
    <w:rsid w:val="00B969CF"/>
    <w:rsid w:val="00B96FFA"/>
    <w:rsid w:val="00B97187"/>
    <w:rsid w:val="00B97708"/>
    <w:rsid w:val="00B97AFA"/>
    <w:rsid w:val="00B97C4C"/>
    <w:rsid w:val="00BA0557"/>
    <w:rsid w:val="00BA08E9"/>
    <w:rsid w:val="00BA0EE0"/>
    <w:rsid w:val="00BA14EC"/>
    <w:rsid w:val="00BA1502"/>
    <w:rsid w:val="00BA1AB5"/>
    <w:rsid w:val="00BA1D54"/>
    <w:rsid w:val="00BA1E37"/>
    <w:rsid w:val="00BA1F9E"/>
    <w:rsid w:val="00BA236D"/>
    <w:rsid w:val="00BA23CA"/>
    <w:rsid w:val="00BA267B"/>
    <w:rsid w:val="00BA2C1D"/>
    <w:rsid w:val="00BA2D5A"/>
    <w:rsid w:val="00BA2DFC"/>
    <w:rsid w:val="00BA353A"/>
    <w:rsid w:val="00BA3DEA"/>
    <w:rsid w:val="00BA41DA"/>
    <w:rsid w:val="00BA47DB"/>
    <w:rsid w:val="00BA4F46"/>
    <w:rsid w:val="00BA4F6C"/>
    <w:rsid w:val="00BA50B7"/>
    <w:rsid w:val="00BA525B"/>
    <w:rsid w:val="00BA5434"/>
    <w:rsid w:val="00BA549D"/>
    <w:rsid w:val="00BA594A"/>
    <w:rsid w:val="00BA5CE6"/>
    <w:rsid w:val="00BA5D0A"/>
    <w:rsid w:val="00BA5F3B"/>
    <w:rsid w:val="00BA5F7E"/>
    <w:rsid w:val="00BA6C5D"/>
    <w:rsid w:val="00BA6CE2"/>
    <w:rsid w:val="00BA6EB0"/>
    <w:rsid w:val="00BA708F"/>
    <w:rsid w:val="00BA7105"/>
    <w:rsid w:val="00BA7414"/>
    <w:rsid w:val="00BA7811"/>
    <w:rsid w:val="00BA7E06"/>
    <w:rsid w:val="00BA7FB3"/>
    <w:rsid w:val="00BB0A1E"/>
    <w:rsid w:val="00BB0AFF"/>
    <w:rsid w:val="00BB0D6E"/>
    <w:rsid w:val="00BB0E88"/>
    <w:rsid w:val="00BB1026"/>
    <w:rsid w:val="00BB14D7"/>
    <w:rsid w:val="00BB15FC"/>
    <w:rsid w:val="00BB2072"/>
    <w:rsid w:val="00BB211D"/>
    <w:rsid w:val="00BB2238"/>
    <w:rsid w:val="00BB2736"/>
    <w:rsid w:val="00BB27FA"/>
    <w:rsid w:val="00BB2CA6"/>
    <w:rsid w:val="00BB2F1E"/>
    <w:rsid w:val="00BB37BF"/>
    <w:rsid w:val="00BB38F6"/>
    <w:rsid w:val="00BB3AC5"/>
    <w:rsid w:val="00BB3B6A"/>
    <w:rsid w:val="00BB3FBA"/>
    <w:rsid w:val="00BB4526"/>
    <w:rsid w:val="00BB463F"/>
    <w:rsid w:val="00BB4D8F"/>
    <w:rsid w:val="00BB4D9D"/>
    <w:rsid w:val="00BB4F0F"/>
    <w:rsid w:val="00BB5133"/>
    <w:rsid w:val="00BB5B0B"/>
    <w:rsid w:val="00BB6613"/>
    <w:rsid w:val="00BB6A56"/>
    <w:rsid w:val="00BB6F77"/>
    <w:rsid w:val="00BB70B8"/>
    <w:rsid w:val="00BB7784"/>
    <w:rsid w:val="00BB7826"/>
    <w:rsid w:val="00BB7F73"/>
    <w:rsid w:val="00BC01F5"/>
    <w:rsid w:val="00BC071A"/>
    <w:rsid w:val="00BC08B2"/>
    <w:rsid w:val="00BC0A84"/>
    <w:rsid w:val="00BC0B01"/>
    <w:rsid w:val="00BC0D7E"/>
    <w:rsid w:val="00BC0E50"/>
    <w:rsid w:val="00BC1265"/>
    <w:rsid w:val="00BC1615"/>
    <w:rsid w:val="00BC1A8C"/>
    <w:rsid w:val="00BC1C3F"/>
    <w:rsid w:val="00BC1D80"/>
    <w:rsid w:val="00BC1E94"/>
    <w:rsid w:val="00BC1F5D"/>
    <w:rsid w:val="00BC228B"/>
    <w:rsid w:val="00BC2447"/>
    <w:rsid w:val="00BC2664"/>
    <w:rsid w:val="00BC2B5B"/>
    <w:rsid w:val="00BC2E06"/>
    <w:rsid w:val="00BC2FFF"/>
    <w:rsid w:val="00BC3007"/>
    <w:rsid w:val="00BC34AF"/>
    <w:rsid w:val="00BC35A6"/>
    <w:rsid w:val="00BC3C1F"/>
    <w:rsid w:val="00BC4137"/>
    <w:rsid w:val="00BC437D"/>
    <w:rsid w:val="00BC4452"/>
    <w:rsid w:val="00BC49DD"/>
    <w:rsid w:val="00BC49E8"/>
    <w:rsid w:val="00BC4ED5"/>
    <w:rsid w:val="00BC52D6"/>
    <w:rsid w:val="00BC557D"/>
    <w:rsid w:val="00BC5E96"/>
    <w:rsid w:val="00BC603F"/>
    <w:rsid w:val="00BC629E"/>
    <w:rsid w:val="00BC62AA"/>
    <w:rsid w:val="00BC6320"/>
    <w:rsid w:val="00BC6C9A"/>
    <w:rsid w:val="00BC6E6C"/>
    <w:rsid w:val="00BC7070"/>
    <w:rsid w:val="00BC71C8"/>
    <w:rsid w:val="00BC7209"/>
    <w:rsid w:val="00BC7657"/>
    <w:rsid w:val="00BC7860"/>
    <w:rsid w:val="00BD04B7"/>
    <w:rsid w:val="00BD06FC"/>
    <w:rsid w:val="00BD0803"/>
    <w:rsid w:val="00BD0ABD"/>
    <w:rsid w:val="00BD0DB5"/>
    <w:rsid w:val="00BD0E27"/>
    <w:rsid w:val="00BD12E8"/>
    <w:rsid w:val="00BD1338"/>
    <w:rsid w:val="00BD14D3"/>
    <w:rsid w:val="00BD19EE"/>
    <w:rsid w:val="00BD1BE6"/>
    <w:rsid w:val="00BD20C1"/>
    <w:rsid w:val="00BD20C5"/>
    <w:rsid w:val="00BD232F"/>
    <w:rsid w:val="00BD282E"/>
    <w:rsid w:val="00BD29A5"/>
    <w:rsid w:val="00BD2C9C"/>
    <w:rsid w:val="00BD30A0"/>
    <w:rsid w:val="00BD35D2"/>
    <w:rsid w:val="00BD37CB"/>
    <w:rsid w:val="00BD3A6B"/>
    <w:rsid w:val="00BD3B4B"/>
    <w:rsid w:val="00BD3FA7"/>
    <w:rsid w:val="00BD4304"/>
    <w:rsid w:val="00BD449B"/>
    <w:rsid w:val="00BD4536"/>
    <w:rsid w:val="00BD4AF0"/>
    <w:rsid w:val="00BD4B77"/>
    <w:rsid w:val="00BD4CA9"/>
    <w:rsid w:val="00BD4EF6"/>
    <w:rsid w:val="00BD4F23"/>
    <w:rsid w:val="00BD4F52"/>
    <w:rsid w:val="00BD5277"/>
    <w:rsid w:val="00BD5CBA"/>
    <w:rsid w:val="00BD5D17"/>
    <w:rsid w:val="00BD5EAE"/>
    <w:rsid w:val="00BD6048"/>
    <w:rsid w:val="00BD6549"/>
    <w:rsid w:val="00BD6809"/>
    <w:rsid w:val="00BD6FF4"/>
    <w:rsid w:val="00BD7976"/>
    <w:rsid w:val="00BE030C"/>
    <w:rsid w:val="00BE033C"/>
    <w:rsid w:val="00BE0568"/>
    <w:rsid w:val="00BE07C9"/>
    <w:rsid w:val="00BE090B"/>
    <w:rsid w:val="00BE0CFF"/>
    <w:rsid w:val="00BE0E1F"/>
    <w:rsid w:val="00BE115C"/>
    <w:rsid w:val="00BE140A"/>
    <w:rsid w:val="00BE15EA"/>
    <w:rsid w:val="00BE16CD"/>
    <w:rsid w:val="00BE1A44"/>
    <w:rsid w:val="00BE21F7"/>
    <w:rsid w:val="00BE2ED2"/>
    <w:rsid w:val="00BE329A"/>
    <w:rsid w:val="00BE3438"/>
    <w:rsid w:val="00BE39E1"/>
    <w:rsid w:val="00BE3C68"/>
    <w:rsid w:val="00BE3C6A"/>
    <w:rsid w:val="00BE3CAF"/>
    <w:rsid w:val="00BE3CDE"/>
    <w:rsid w:val="00BE3DD7"/>
    <w:rsid w:val="00BE408A"/>
    <w:rsid w:val="00BE4164"/>
    <w:rsid w:val="00BE4268"/>
    <w:rsid w:val="00BE447D"/>
    <w:rsid w:val="00BE4690"/>
    <w:rsid w:val="00BE49CC"/>
    <w:rsid w:val="00BE4D6B"/>
    <w:rsid w:val="00BE5110"/>
    <w:rsid w:val="00BE51EC"/>
    <w:rsid w:val="00BE52DD"/>
    <w:rsid w:val="00BE554D"/>
    <w:rsid w:val="00BE5632"/>
    <w:rsid w:val="00BE57DF"/>
    <w:rsid w:val="00BE58B6"/>
    <w:rsid w:val="00BE5932"/>
    <w:rsid w:val="00BE5C54"/>
    <w:rsid w:val="00BE6011"/>
    <w:rsid w:val="00BE659D"/>
    <w:rsid w:val="00BE65A5"/>
    <w:rsid w:val="00BE6B47"/>
    <w:rsid w:val="00BE6D06"/>
    <w:rsid w:val="00BE6DD5"/>
    <w:rsid w:val="00BE6E28"/>
    <w:rsid w:val="00BE7356"/>
    <w:rsid w:val="00BE73A8"/>
    <w:rsid w:val="00BE7827"/>
    <w:rsid w:val="00BE7983"/>
    <w:rsid w:val="00BE7D53"/>
    <w:rsid w:val="00BF122C"/>
    <w:rsid w:val="00BF1535"/>
    <w:rsid w:val="00BF161A"/>
    <w:rsid w:val="00BF1802"/>
    <w:rsid w:val="00BF1A1F"/>
    <w:rsid w:val="00BF1F0C"/>
    <w:rsid w:val="00BF2128"/>
    <w:rsid w:val="00BF21CD"/>
    <w:rsid w:val="00BF3052"/>
    <w:rsid w:val="00BF33FB"/>
    <w:rsid w:val="00BF3D2D"/>
    <w:rsid w:val="00BF413F"/>
    <w:rsid w:val="00BF4878"/>
    <w:rsid w:val="00BF4B41"/>
    <w:rsid w:val="00BF4D65"/>
    <w:rsid w:val="00BF4DA7"/>
    <w:rsid w:val="00BF4FC7"/>
    <w:rsid w:val="00BF5014"/>
    <w:rsid w:val="00BF5184"/>
    <w:rsid w:val="00BF52D2"/>
    <w:rsid w:val="00BF5F38"/>
    <w:rsid w:val="00BF6019"/>
    <w:rsid w:val="00BF6028"/>
    <w:rsid w:val="00BF6083"/>
    <w:rsid w:val="00BF70D4"/>
    <w:rsid w:val="00BF7153"/>
    <w:rsid w:val="00BF74A1"/>
    <w:rsid w:val="00BF7584"/>
    <w:rsid w:val="00BF7806"/>
    <w:rsid w:val="00BF7F0B"/>
    <w:rsid w:val="00C00001"/>
    <w:rsid w:val="00C00053"/>
    <w:rsid w:val="00C001DE"/>
    <w:rsid w:val="00C00247"/>
    <w:rsid w:val="00C003F7"/>
    <w:rsid w:val="00C00435"/>
    <w:rsid w:val="00C00504"/>
    <w:rsid w:val="00C007AF"/>
    <w:rsid w:val="00C00900"/>
    <w:rsid w:val="00C0100E"/>
    <w:rsid w:val="00C01792"/>
    <w:rsid w:val="00C01956"/>
    <w:rsid w:val="00C022CE"/>
    <w:rsid w:val="00C023F9"/>
    <w:rsid w:val="00C02536"/>
    <w:rsid w:val="00C028EC"/>
    <w:rsid w:val="00C02A2B"/>
    <w:rsid w:val="00C02B73"/>
    <w:rsid w:val="00C02E69"/>
    <w:rsid w:val="00C02FF7"/>
    <w:rsid w:val="00C033CE"/>
    <w:rsid w:val="00C04480"/>
    <w:rsid w:val="00C04AB1"/>
    <w:rsid w:val="00C04B71"/>
    <w:rsid w:val="00C04DB4"/>
    <w:rsid w:val="00C051C8"/>
    <w:rsid w:val="00C05530"/>
    <w:rsid w:val="00C05599"/>
    <w:rsid w:val="00C058EA"/>
    <w:rsid w:val="00C061AB"/>
    <w:rsid w:val="00C0625D"/>
    <w:rsid w:val="00C0644A"/>
    <w:rsid w:val="00C06473"/>
    <w:rsid w:val="00C06600"/>
    <w:rsid w:val="00C067A4"/>
    <w:rsid w:val="00C06CB5"/>
    <w:rsid w:val="00C06CE4"/>
    <w:rsid w:val="00C10062"/>
    <w:rsid w:val="00C101C3"/>
    <w:rsid w:val="00C101E9"/>
    <w:rsid w:val="00C1022E"/>
    <w:rsid w:val="00C1044B"/>
    <w:rsid w:val="00C1071A"/>
    <w:rsid w:val="00C107D4"/>
    <w:rsid w:val="00C10AD9"/>
    <w:rsid w:val="00C10BFC"/>
    <w:rsid w:val="00C11304"/>
    <w:rsid w:val="00C1190C"/>
    <w:rsid w:val="00C12061"/>
    <w:rsid w:val="00C12181"/>
    <w:rsid w:val="00C128E8"/>
    <w:rsid w:val="00C128EC"/>
    <w:rsid w:val="00C13105"/>
    <w:rsid w:val="00C1329D"/>
    <w:rsid w:val="00C13B25"/>
    <w:rsid w:val="00C13B28"/>
    <w:rsid w:val="00C13CA9"/>
    <w:rsid w:val="00C147AF"/>
    <w:rsid w:val="00C14B66"/>
    <w:rsid w:val="00C14C15"/>
    <w:rsid w:val="00C14DF7"/>
    <w:rsid w:val="00C1519D"/>
    <w:rsid w:val="00C15627"/>
    <w:rsid w:val="00C158DE"/>
    <w:rsid w:val="00C15C30"/>
    <w:rsid w:val="00C1622E"/>
    <w:rsid w:val="00C16258"/>
    <w:rsid w:val="00C162C5"/>
    <w:rsid w:val="00C1679F"/>
    <w:rsid w:val="00C16C06"/>
    <w:rsid w:val="00C17240"/>
    <w:rsid w:val="00C173EC"/>
    <w:rsid w:val="00C1741A"/>
    <w:rsid w:val="00C17698"/>
    <w:rsid w:val="00C17C3E"/>
    <w:rsid w:val="00C17D50"/>
    <w:rsid w:val="00C20429"/>
    <w:rsid w:val="00C204AE"/>
    <w:rsid w:val="00C20ADC"/>
    <w:rsid w:val="00C20D67"/>
    <w:rsid w:val="00C21890"/>
    <w:rsid w:val="00C21FFB"/>
    <w:rsid w:val="00C222C3"/>
    <w:rsid w:val="00C22FA3"/>
    <w:rsid w:val="00C22FAA"/>
    <w:rsid w:val="00C2388D"/>
    <w:rsid w:val="00C23AE7"/>
    <w:rsid w:val="00C241F1"/>
    <w:rsid w:val="00C243A7"/>
    <w:rsid w:val="00C24A4F"/>
    <w:rsid w:val="00C24CD6"/>
    <w:rsid w:val="00C255C5"/>
    <w:rsid w:val="00C25C61"/>
    <w:rsid w:val="00C269C8"/>
    <w:rsid w:val="00C26C9A"/>
    <w:rsid w:val="00C26DCA"/>
    <w:rsid w:val="00C26E13"/>
    <w:rsid w:val="00C26E75"/>
    <w:rsid w:val="00C272C3"/>
    <w:rsid w:val="00C2753A"/>
    <w:rsid w:val="00C2778A"/>
    <w:rsid w:val="00C27A70"/>
    <w:rsid w:val="00C27B53"/>
    <w:rsid w:val="00C27B8C"/>
    <w:rsid w:val="00C27CC2"/>
    <w:rsid w:val="00C27D00"/>
    <w:rsid w:val="00C27ED6"/>
    <w:rsid w:val="00C27EE2"/>
    <w:rsid w:val="00C30484"/>
    <w:rsid w:val="00C304D7"/>
    <w:rsid w:val="00C3068B"/>
    <w:rsid w:val="00C306AD"/>
    <w:rsid w:val="00C30B9F"/>
    <w:rsid w:val="00C30C1A"/>
    <w:rsid w:val="00C30C74"/>
    <w:rsid w:val="00C30E9E"/>
    <w:rsid w:val="00C312F9"/>
    <w:rsid w:val="00C31631"/>
    <w:rsid w:val="00C320E2"/>
    <w:rsid w:val="00C32787"/>
    <w:rsid w:val="00C32E8C"/>
    <w:rsid w:val="00C33251"/>
    <w:rsid w:val="00C33620"/>
    <w:rsid w:val="00C33954"/>
    <w:rsid w:val="00C33EFD"/>
    <w:rsid w:val="00C34812"/>
    <w:rsid w:val="00C3496E"/>
    <w:rsid w:val="00C34D27"/>
    <w:rsid w:val="00C34E2A"/>
    <w:rsid w:val="00C351D0"/>
    <w:rsid w:val="00C35236"/>
    <w:rsid w:val="00C35C06"/>
    <w:rsid w:val="00C369EC"/>
    <w:rsid w:val="00C36A92"/>
    <w:rsid w:val="00C36F21"/>
    <w:rsid w:val="00C36F45"/>
    <w:rsid w:val="00C37287"/>
    <w:rsid w:val="00C37438"/>
    <w:rsid w:val="00C3747E"/>
    <w:rsid w:val="00C374C5"/>
    <w:rsid w:val="00C37A7F"/>
    <w:rsid w:val="00C37F44"/>
    <w:rsid w:val="00C403B2"/>
    <w:rsid w:val="00C4046E"/>
    <w:rsid w:val="00C405BD"/>
    <w:rsid w:val="00C40A2A"/>
    <w:rsid w:val="00C40B7C"/>
    <w:rsid w:val="00C40D6B"/>
    <w:rsid w:val="00C410E6"/>
    <w:rsid w:val="00C412D7"/>
    <w:rsid w:val="00C417C8"/>
    <w:rsid w:val="00C41DEE"/>
    <w:rsid w:val="00C41F80"/>
    <w:rsid w:val="00C41FF0"/>
    <w:rsid w:val="00C4202A"/>
    <w:rsid w:val="00C42064"/>
    <w:rsid w:val="00C4219A"/>
    <w:rsid w:val="00C42254"/>
    <w:rsid w:val="00C425C5"/>
    <w:rsid w:val="00C4351D"/>
    <w:rsid w:val="00C43BF4"/>
    <w:rsid w:val="00C43E4E"/>
    <w:rsid w:val="00C44098"/>
    <w:rsid w:val="00C4429A"/>
    <w:rsid w:val="00C44975"/>
    <w:rsid w:val="00C449AB"/>
    <w:rsid w:val="00C44F3F"/>
    <w:rsid w:val="00C45273"/>
    <w:rsid w:val="00C45D49"/>
    <w:rsid w:val="00C45D77"/>
    <w:rsid w:val="00C45DB9"/>
    <w:rsid w:val="00C46137"/>
    <w:rsid w:val="00C465B8"/>
    <w:rsid w:val="00C469D2"/>
    <w:rsid w:val="00C4706C"/>
    <w:rsid w:val="00C47239"/>
    <w:rsid w:val="00C476A1"/>
    <w:rsid w:val="00C47CAF"/>
    <w:rsid w:val="00C50C49"/>
    <w:rsid w:val="00C510B0"/>
    <w:rsid w:val="00C51DEE"/>
    <w:rsid w:val="00C51E2E"/>
    <w:rsid w:val="00C51FE9"/>
    <w:rsid w:val="00C5214D"/>
    <w:rsid w:val="00C525A2"/>
    <w:rsid w:val="00C5272C"/>
    <w:rsid w:val="00C5275D"/>
    <w:rsid w:val="00C5283B"/>
    <w:rsid w:val="00C52A4F"/>
    <w:rsid w:val="00C52ABE"/>
    <w:rsid w:val="00C52D06"/>
    <w:rsid w:val="00C52D91"/>
    <w:rsid w:val="00C5312E"/>
    <w:rsid w:val="00C53564"/>
    <w:rsid w:val="00C53769"/>
    <w:rsid w:val="00C538B7"/>
    <w:rsid w:val="00C53C90"/>
    <w:rsid w:val="00C53EA0"/>
    <w:rsid w:val="00C5438E"/>
    <w:rsid w:val="00C54C38"/>
    <w:rsid w:val="00C54D01"/>
    <w:rsid w:val="00C54DE1"/>
    <w:rsid w:val="00C55161"/>
    <w:rsid w:val="00C556D0"/>
    <w:rsid w:val="00C55773"/>
    <w:rsid w:val="00C55C97"/>
    <w:rsid w:val="00C55DD8"/>
    <w:rsid w:val="00C56657"/>
    <w:rsid w:val="00C56ADF"/>
    <w:rsid w:val="00C56D42"/>
    <w:rsid w:val="00C56EC7"/>
    <w:rsid w:val="00C5701E"/>
    <w:rsid w:val="00C5725D"/>
    <w:rsid w:val="00C57412"/>
    <w:rsid w:val="00C57535"/>
    <w:rsid w:val="00C57E09"/>
    <w:rsid w:val="00C57EDB"/>
    <w:rsid w:val="00C57F90"/>
    <w:rsid w:val="00C606B2"/>
    <w:rsid w:val="00C60E0C"/>
    <w:rsid w:val="00C60F55"/>
    <w:rsid w:val="00C6102F"/>
    <w:rsid w:val="00C61224"/>
    <w:rsid w:val="00C612F2"/>
    <w:rsid w:val="00C61847"/>
    <w:rsid w:val="00C61A2E"/>
    <w:rsid w:val="00C61C51"/>
    <w:rsid w:val="00C61C6F"/>
    <w:rsid w:val="00C61CF2"/>
    <w:rsid w:val="00C61ECD"/>
    <w:rsid w:val="00C620E6"/>
    <w:rsid w:val="00C6217C"/>
    <w:rsid w:val="00C62581"/>
    <w:rsid w:val="00C6290E"/>
    <w:rsid w:val="00C62AC1"/>
    <w:rsid w:val="00C62B00"/>
    <w:rsid w:val="00C62E8C"/>
    <w:rsid w:val="00C63153"/>
    <w:rsid w:val="00C6333E"/>
    <w:rsid w:val="00C63559"/>
    <w:rsid w:val="00C63BC1"/>
    <w:rsid w:val="00C63FF2"/>
    <w:rsid w:val="00C6402A"/>
    <w:rsid w:val="00C642BB"/>
    <w:rsid w:val="00C644D3"/>
    <w:rsid w:val="00C64BE4"/>
    <w:rsid w:val="00C64CC9"/>
    <w:rsid w:val="00C6597E"/>
    <w:rsid w:val="00C65CC6"/>
    <w:rsid w:val="00C65DD2"/>
    <w:rsid w:val="00C661BD"/>
    <w:rsid w:val="00C66F58"/>
    <w:rsid w:val="00C67076"/>
    <w:rsid w:val="00C674EF"/>
    <w:rsid w:val="00C67795"/>
    <w:rsid w:val="00C67820"/>
    <w:rsid w:val="00C67A8C"/>
    <w:rsid w:val="00C67AE8"/>
    <w:rsid w:val="00C67BC2"/>
    <w:rsid w:val="00C709F2"/>
    <w:rsid w:val="00C70A22"/>
    <w:rsid w:val="00C70CA1"/>
    <w:rsid w:val="00C711B9"/>
    <w:rsid w:val="00C713C2"/>
    <w:rsid w:val="00C71523"/>
    <w:rsid w:val="00C7185A"/>
    <w:rsid w:val="00C7227D"/>
    <w:rsid w:val="00C726A6"/>
    <w:rsid w:val="00C72729"/>
    <w:rsid w:val="00C728AD"/>
    <w:rsid w:val="00C72AAC"/>
    <w:rsid w:val="00C72ACE"/>
    <w:rsid w:val="00C73383"/>
    <w:rsid w:val="00C733FA"/>
    <w:rsid w:val="00C73A00"/>
    <w:rsid w:val="00C73A2D"/>
    <w:rsid w:val="00C73C34"/>
    <w:rsid w:val="00C74857"/>
    <w:rsid w:val="00C74DBC"/>
    <w:rsid w:val="00C752A0"/>
    <w:rsid w:val="00C754A2"/>
    <w:rsid w:val="00C7580A"/>
    <w:rsid w:val="00C7595C"/>
    <w:rsid w:val="00C75A99"/>
    <w:rsid w:val="00C75E70"/>
    <w:rsid w:val="00C76200"/>
    <w:rsid w:val="00C76451"/>
    <w:rsid w:val="00C76463"/>
    <w:rsid w:val="00C7680F"/>
    <w:rsid w:val="00C76908"/>
    <w:rsid w:val="00C774F6"/>
    <w:rsid w:val="00C77916"/>
    <w:rsid w:val="00C77A25"/>
    <w:rsid w:val="00C77BB1"/>
    <w:rsid w:val="00C77C8D"/>
    <w:rsid w:val="00C77DB3"/>
    <w:rsid w:val="00C77E35"/>
    <w:rsid w:val="00C80164"/>
    <w:rsid w:val="00C80249"/>
    <w:rsid w:val="00C80514"/>
    <w:rsid w:val="00C8052B"/>
    <w:rsid w:val="00C80868"/>
    <w:rsid w:val="00C80C20"/>
    <w:rsid w:val="00C814AE"/>
    <w:rsid w:val="00C81529"/>
    <w:rsid w:val="00C81589"/>
    <w:rsid w:val="00C816D4"/>
    <w:rsid w:val="00C818A1"/>
    <w:rsid w:val="00C81AD2"/>
    <w:rsid w:val="00C81B7F"/>
    <w:rsid w:val="00C81BB8"/>
    <w:rsid w:val="00C81D78"/>
    <w:rsid w:val="00C82145"/>
    <w:rsid w:val="00C825FC"/>
    <w:rsid w:val="00C82794"/>
    <w:rsid w:val="00C827D0"/>
    <w:rsid w:val="00C827E9"/>
    <w:rsid w:val="00C82E01"/>
    <w:rsid w:val="00C83310"/>
    <w:rsid w:val="00C8388B"/>
    <w:rsid w:val="00C83AFB"/>
    <w:rsid w:val="00C83FA6"/>
    <w:rsid w:val="00C844A0"/>
    <w:rsid w:val="00C849F7"/>
    <w:rsid w:val="00C84AEA"/>
    <w:rsid w:val="00C84D49"/>
    <w:rsid w:val="00C84F7A"/>
    <w:rsid w:val="00C84FA4"/>
    <w:rsid w:val="00C85577"/>
    <w:rsid w:val="00C85606"/>
    <w:rsid w:val="00C85C1D"/>
    <w:rsid w:val="00C85ED2"/>
    <w:rsid w:val="00C86150"/>
    <w:rsid w:val="00C866B1"/>
    <w:rsid w:val="00C8694E"/>
    <w:rsid w:val="00C86CFF"/>
    <w:rsid w:val="00C87077"/>
    <w:rsid w:val="00C87701"/>
    <w:rsid w:val="00C87751"/>
    <w:rsid w:val="00C90156"/>
    <w:rsid w:val="00C91251"/>
    <w:rsid w:val="00C913FD"/>
    <w:rsid w:val="00C91F38"/>
    <w:rsid w:val="00C9230D"/>
    <w:rsid w:val="00C92317"/>
    <w:rsid w:val="00C92412"/>
    <w:rsid w:val="00C9248C"/>
    <w:rsid w:val="00C924A3"/>
    <w:rsid w:val="00C92A23"/>
    <w:rsid w:val="00C92B96"/>
    <w:rsid w:val="00C92D98"/>
    <w:rsid w:val="00C930AC"/>
    <w:rsid w:val="00C9351A"/>
    <w:rsid w:val="00C938DF"/>
    <w:rsid w:val="00C939D2"/>
    <w:rsid w:val="00C93C0B"/>
    <w:rsid w:val="00C93E56"/>
    <w:rsid w:val="00C9414D"/>
    <w:rsid w:val="00C94175"/>
    <w:rsid w:val="00C94191"/>
    <w:rsid w:val="00C94A68"/>
    <w:rsid w:val="00C95321"/>
    <w:rsid w:val="00C95D19"/>
    <w:rsid w:val="00C9600F"/>
    <w:rsid w:val="00C960F6"/>
    <w:rsid w:val="00C96556"/>
    <w:rsid w:val="00C96624"/>
    <w:rsid w:val="00C96705"/>
    <w:rsid w:val="00C976B2"/>
    <w:rsid w:val="00C978E6"/>
    <w:rsid w:val="00C97CF1"/>
    <w:rsid w:val="00CA004B"/>
    <w:rsid w:val="00CA027F"/>
    <w:rsid w:val="00CA0423"/>
    <w:rsid w:val="00CA062D"/>
    <w:rsid w:val="00CA07C3"/>
    <w:rsid w:val="00CA0D59"/>
    <w:rsid w:val="00CA0DCC"/>
    <w:rsid w:val="00CA0EBB"/>
    <w:rsid w:val="00CA1478"/>
    <w:rsid w:val="00CA1873"/>
    <w:rsid w:val="00CA195D"/>
    <w:rsid w:val="00CA1B35"/>
    <w:rsid w:val="00CA1EB7"/>
    <w:rsid w:val="00CA1F3C"/>
    <w:rsid w:val="00CA241D"/>
    <w:rsid w:val="00CA2EFE"/>
    <w:rsid w:val="00CA360D"/>
    <w:rsid w:val="00CA3914"/>
    <w:rsid w:val="00CA3ACE"/>
    <w:rsid w:val="00CA3F5E"/>
    <w:rsid w:val="00CA4411"/>
    <w:rsid w:val="00CA449B"/>
    <w:rsid w:val="00CA4815"/>
    <w:rsid w:val="00CA4C6F"/>
    <w:rsid w:val="00CA5004"/>
    <w:rsid w:val="00CA5499"/>
    <w:rsid w:val="00CA5557"/>
    <w:rsid w:val="00CA568B"/>
    <w:rsid w:val="00CA5802"/>
    <w:rsid w:val="00CA5985"/>
    <w:rsid w:val="00CA5A0E"/>
    <w:rsid w:val="00CA6109"/>
    <w:rsid w:val="00CA63D6"/>
    <w:rsid w:val="00CA6445"/>
    <w:rsid w:val="00CA64AF"/>
    <w:rsid w:val="00CA6678"/>
    <w:rsid w:val="00CA668B"/>
    <w:rsid w:val="00CA68F7"/>
    <w:rsid w:val="00CA6A70"/>
    <w:rsid w:val="00CA6AE8"/>
    <w:rsid w:val="00CA6B64"/>
    <w:rsid w:val="00CA6C8C"/>
    <w:rsid w:val="00CA6DD7"/>
    <w:rsid w:val="00CA7181"/>
    <w:rsid w:val="00CA721E"/>
    <w:rsid w:val="00CA7300"/>
    <w:rsid w:val="00CA78AA"/>
    <w:rsid w:val="00CA7BB3"/>
    <w:rsid w:val="00CB0177"/>
    <w:rsid w:val="00CB0568"/>
    <w:rsid w:val="00CB0917"/>
    <w:rsid w:val="00CB0ACD"/>
    <w:rsid w:val="00CB0B29"/>
    <w:rsid w:val="00CB0C9D"/>
    <w:rsid w:val="00CB123D"/>
    <w:rsid w:val="00CB1378"/>
    <w:rsid w:val="00CB141D"/>
    <w:rsid w:val="00CB15DB"/>
    <w:rsid w:val="00CB1671"/>
    <w:rsid w:val="00CB1B2C"/>
    <w:rsid w:val="00CB1B40"/>
    <w:rsid w:val="00CB228C"/>
    <w:rsid w:val="00CB22E0"/>
    <w:rsid w:val="00CB256F"/>
    <w:rsid w:val="00CB2934"/>
    <w:rsid w:val="00CB2B78"/>
    <w:rsid w:val="00CB3326"/>
    <w:rsid w:val="00CB35D3"/>
    <w:rsid w:val="00CB37F2"/>
    <w:rsid w:val="00CB3BCF"/>
    <w:rsid w:val="00CB3EB0"/>
    <w:rsid w:val="00CB40BC"/>
    <w:rsid w:val="00CB4457"/>
    <w:rsid w:val="00CB4689"/>
    <w:rsid w:val="00CB4A14"/>
    <w:rsid w:val="00CB4E51"/>
    <w:rsid w:val="00CB50A0"/>
    <w:rsid w:val="00CB50FE"/>
    <w:rsid w:val="00CB5195"/>
    <w:rsid w:val="00CB5220"/>
    <w:rsid w:val="00CB5236"/>
    <w:rsid w:val="00CB5409"/>
    <w:rsid w:val="00CB5B0A"/>
    <w:rsid w:val="00CB634B"/>
    <w:rsid w:val="00CB66CA"/>
    <w:rsid w:val="00CB6790"/>
    <w:rsid w:val="00CB79B7"/>
    <w:rsid w:val="00CB7EEB"/>
    <w:rsid w:val="00CC01F8"/>
    <w:rsid w:val="00CC05AE"/>
    <w:rsid w:val="00CC074D"/>
    <w:rsid w:val="00CC0A77"/>
    <w:rsid w:val="00CC0D5D"/>
    <w:rsid w:val="00CC0E2B"/>
    <w:rsid w:val="00CC133D"/>
    <w:rsid w:val="00CC1400"/>
    <w:rsid w:val="00CC1547"/>
    <w:rsid w:val="00CC17E7"/>
    <w:rsid w:val="00CC192B"/>
    <w:rsid w:val="00CC1BA9"/>
    <w:rsid w:val="00CC1E73"/>
    <w:rsid w:val="00CC1F98"/>
    <w:rsid w:val="00CC1FFE"/>
    <w:rsid w:val="00CC258F"/>
    <w:rsid w:val="00CC2759"/>
    <w:rsid w:val="00CC2A18"/>
    <w:rsid w:val="00CC2D54"/>
    <w:rsid w:val="00CC30D8"/>
    <w:rsid w:val="00CC420F"/>
    <w:rsid w:val="00CC44B0"/>
    <w:rsid w:val="00CC47CD"/>
    <w:rsid w:val="00CC4E30"/>
    <w:rsid w:val="00CC4E38"/>
    <w:rsid w:val="00CC5173"/>
    <w:rsid w:val="00CC5958"/>
    <w:rsid w:val="00CC5A1A"/>
    <w:rsid w:val="00CC5BF0"/>
    <w:rsid w:val="00CC5D23"/>
    <w:rsid w:val="00CC5E17"/>
    <w:rsid w:val="00CC5E5A"/>
    <w:rsid w:val="00CC5F55"/>
    <w:rsid w:val="00CC63A6"/>
    <w:rsid w:val="00CC6A56"/>
    <w:rsid w:val="00CC7275"/>
    <w:rsid w:val="00CC78B8"/>
    <w:rsid w:val="00CC7C03"/>
    <w:rsid w:val="00CC7EDE"/>
    <w:rsid w:val="00CD01A0"/>
    <w:rsid w:val="00CD0254"/>
    <w:rsid w:val="00CD0261"/>
    <w:rsid w:val="00CD03AA"/>
    <w:rsid w:val="00CD04D1"/>
    <w:rsid w:val="00CD0A11"/>
    <w:rsid w:val="00CD0DA5"/>
    <w:rsid w:val="00CD165F"/>
    <w:rsid w:val="00CD1B25"/>
    <w:rsid w:val="00CD1C98"/>
    <w:rsid w:val="00CD28C3"/>
    <w:rsid w:val="00CD2BCB"/>
    <w:rsid w:val="00CD2EDF"/>
    <w:rsid w:val="00CD332F"/>
    <w:rsid w:val="00CD3438"/>
    <w:rsid w:val="00CD37BD"/>
    <w:rsid w:val="00CD3D4C"/>
    <w:rsid w:val="00CD3D95"/>
    <w:rsid w:val="00CD4124"/>
    <w:rsid w:val="00CD425E"/>
    <w:rsid w:val="00CD4355"/>
    <w:rsid w:val="00CD464A"/>
    <w:rsid w:val="00CD495F"/>
    <w:rsid w:val="00CD5272"/>
    <w:rsid w:val="00CD54FD"/>
    <w:rsid w:val="00CD554E"/>
    <w:rsid w:val="00CD585C"/>
    <w:rsid w:val="00CD59DE"/>
    <w:rsid w:val="00CD5BFA"/>
    <w:rsid w:val="00CD5F6A"/>
    <w:rsid w:val="00CD617B"/>
    <w:rsid w:val="00CD654F"/>
    <w:rsid w:val="00CD6CBF"/>
    <w:rsid w:val="00CD71D9"/>
    <w:rsid w:val="00CD7326"/>
    <w:rsid w:val="00CD74F5"/>
    <w:rsid w:val="00CD75BB"/>
    <w:rsid w:val="00CD7772"/>
    <w:rsid w:val="00CD787B"/>
    <w:rsid w:val="00CD79E7"/>
    <w:rsid w:val="00CD7F08"/>
    <w:rsid w:val="00CE00AB"/>
    <w:rsid w:val="00CE0134"/>
    <w:rsid w:val="00CE0836"/>
    <w:rsid w:val="00CE0929"/>
    <w:rsid w:val="00CE0AC9"/>
    <w:rsid w:val="00CE0CEE"/>
    <w:rsid w:val="00CE11DE"/>
    <w:rsid w:val="00CE142D"/>
    <w:rsid w:val="00CE165C"/>
    <w:rsid w:val="00CE16AA"/>
    <w:rsid w:val="00CE17A8"/>
    <w:rsid w:val="00CE17DC"/>
    <w:rsid w:val="00CE186E"/>
    <w:rsid w:val="00CE1B1D"/>
    <w:rsid w:val="00CE20ED"/>
    <w:rsid w:val="00CE2222"/>
    <w:rsid w:val="00CE24FE"/>
    <w:rsid w:val="00CE2530"/>
    <w:rsid w:val="00CE27B5"/>
    <w:rsid w:val="00CE2948"/>
    <w:rsid w:val="00CE2ADD"/>
    <w:rsid w:val="00CE2F2B"/>
    <w:rsid w:val="00CE328A"/>
    <w:rsid w:val="00CE34E4"/>
    <w:rsid w:val="00CE3738"/>
    <w:rsid w:val="00CE4091"/>
    <w:rsid w:val="00CE420E"/>
    <w:rsid w:val="00CE42AD"/>
    <w:rsid w:val="00CE44D9"/>
    <w:rsid w:val="00CE475E"/>
    <w:rsid w:val="00CE47F8"/>
    <w:rsid w:val="00CE484F"/>
    <w:rsid w:val="00CE4A08"/>
    <w:rsid w:val="00CE50D4"/>
    <w:rsid w:val="00CE51DB"/>
    <w:rsid w:val="00CE521A"/>
    <w:rsid w:val="00CE565A"/>
    <w:rsid w:val="00CE56C3"/>
    <w:rsid w:val="00CE57C0"/>
    <w:rsid w:val="00CE58CA"/>
    <w:rsid w:val="00CE5919"/>
    <w:rsid w:val="00CE5F44"/>
    <w:rsid w:val="00CE63CF"/>
    <w:rsid w:val="00CE646F"/>
    <w:rsid w:val="00CE6583"/>
    <w:rsid w:val="00CE65FC"/>
    <w:rsid w:val="00CE6623"/>
    <w:rsid w:val="00CE6885"/>
    <w:rsid w:val="00CF0369"/>
    <w:rsid w:val="00CF0614"/>
    <w:rsid w:val="00CF0C2B"/>
    <w:rsid w:val="00CF0C30"/>
    <w:rsid w:val="00CF1E60"/>
    <w:rsid w:val="00CF2755"/>
    <w:rsid w:val="00CF2B9A"/>
    <w:rsid w:val="00CF2C9D"/>
    <w:rsid w:val="00CF2E17"/>
    <w:rsid w:val="00CF30D6"/>
    <w:rsid w:val="00CF3169"/>
    <w:rsid w:val="00CF3743"/>
    <w:rsid w:val="00CF3C1B"/>
    <w:rsid w:val="00CF3D9D"/>
    <w:rsid w:val="00CF3E13"/>
    <w:rsid w:val="00CF40DB"/>
    <w:rsid w:val="00CF442F"/>
    <w:rsid w:val="00CF4E05"/>
    <w:rsid w:val="00CF5155"/>
    <w:rsid w:val="00CF520C"/>
    <w:rsid w:val="00CF5598"/>
    <w:rsid w:val="00CF566C"/>
    <w:rsid w:val="00CF5833"/>
    <w:rsid w:val="00CF5875"/>
    <w:rsid w:val="00CF5AD6"/>
    <w:rsid w:val="00CF5F59"/>
    <w:rsid w:val="00CF66D6"/>
    <w:rsid w:val="00CF6E80"/>
    <w:rsid w:val="00CF7860"/>
    <w:rsid w:val="00CF78D3"/>
    <w:rsid w:val="00CF7943"/>
    <w:rsid w:val="00CF7949"/>
    <w:rsid w:val="00CF7E52"/>
    <w:rsid w:val="00D00105"/>
    <w:rsid w:val="00D0017D"/>
    <w:rsid w:val="00D00715"/>
    <w:rsid w:val="00D00912"/>
    <w:rsid w:val="00D00CE5"/>
    <w:rsid w:val="00D0137D"/>
    <w:rsid w:val="00D01CB9"/>
    <w:rsid w:val="00D01E1A"/>
    <w:rsid w:val="00D025CD"/>
    <w:rsid w:val="00D02764"/>
    <w:rsid w:val="00D0302D"/>
    <w:rsid w:val="00D033E9"/>
    <w:rsid w:val="00D0350F"/>
    <w:rsid w:val="00D03A80"/>
    <w:rsid w:val="00D04234"/>
    <w:rsid w:val="00D0454F"/>
    <w:rsid w:val="00D0485B"/>
    <w:rsid w:val="00D04DF5"/>
    <w:rsid w:val="00D0564E"/>
    <w:rsid w:val="00D05927"/>
    <w:rsid w:val="00D05953"/>
    <w:rsid w:val="00D05C7D"/>
    <w:rsid w:val="00D05FA4"/>
    <w:rsid w:val="00D0619D"/>
    <w:rsid w:val="00D06443"/>
    <w:rsid w:val="00D06E3E"/>
    <w:rsid w:val="00D06E73"/>
    <w:rsid w:val="00D07753"/>
    <w:rsid w:val="00D0798D"/>
    <w:rsid w:val="00D07DA2"/>
    <w:rsid w:val="00D07F4C"/>
    <w:rsid w:val="00D100D9"/>
    <w:rsid w:val="00D10179"/>
    <w:rsid w:val="00D10BAE"/>
    <w:rsid w:val="00D10BD7"/>
    <w:rsid w:val="00D10D7D"/>
    <w:rsid w:val="00D11111"/>
    <w:rsid w:val="00D11295"/>
    <w:rsid w:val="00D115F2"/>
    <w:rsid w:val="00D11C6C"/>
    <w:rsid w:val="00D11C86"/>
    <w:rsid w:val="00D122AA"/>
    <w:rsid w:val="00D12399"/>
    <w:rsid w:val="00D12893"/>
    <w:rsid w:val="00D12C77"/>
    <w:rsid w:val="00D134F6"/>
    <w:rsid w:val="00D136B2"/>
    <w:rsid w:val="00D138A5"/>
    <w:rsid w:val="00D13ED0"/>
    <w:rsid w:val="00D14151"/>
    <w:rsid w:val="00D14339"/>
    <w:rsid w:val="00D151B2"/>
    <w:rsid w:val="00D154B0"/>
    <w:rsid w:val="00D1599D"/>
    <w:rsid w:val="00D15B23"/>
    <w:rsid w:val="00D15C77"/>
    <w:rsid w:val="00D15C9E"/>
    <w:rsid w:val="00D15E04"/>
    <w:rsid w:val="00D16281"/>
    <w:rsid w:val="00D16448"/>
    <w:rsid w:val="00D164B0"/>
    <w:rsid w:val="00D16759"/>
    <w:rsid w:val="00D1679F"/>
    <w:rsid w:val="00D16B09"/>
    <w:rsid w:val="00D17211"/>
    <w:rsid w:val="00D1757C"/>
    <w:rsid w:val="00D17F26"/>
    <w:rsid w:val="00D17F54"/>
    <w:rsid w:val="00D201E8"/>
    <w:rsid w:val="00D2034F"/>
    <w:rsid w:val="00D20894"/>
    <w:rsid w:val="00D20D76"/>
    <w:rsid w:val="00D20ECB"/>
    <w:rsid w:val="00D20F4B"/>
    <w:rsid w:val="00D2109B"/>
    <w:rsid w:val="00D21291"/>
    <w:rsid w:val="00D21500"/>
    <w:rsid w:val="00D219DF"/>
    <w:rsid w:val="00D21D0D"/>
    <w:rsid w:val="00D220AF"/>
    <w:rsid w:val="00D22328"/>
    <w:rsid w:val="00D22339"/>
    <w:rsid w:val="00D2248B"/>
    <w:rsid w:val="00D22693"/>
    <w:rsid w:val="00D22A61"/>
    <w:rsid w:val="00D22A9D"/>
    <w:rsid w:val="00D22AB1"/>
    <w:rsid w:val="00D22BA5"/>
    <w:rsid w:val="00D22D1F"/>
    <w:rsid w:val="00D22DDB"/>
    <w:rsid w:val="00D23107"/>
    <w:rsid w:val="00D231A0"/>
    <w:rsid w:val="00D231C0"/>
    <w:rsid w:val="00D2335D"/>
    <w:rsid w:val="00D234DD"/>
    <w:rsid w:val="00D23632"/>
    <w:rsid w:val="00D2390E"/>
    <w:rsid w:val="00D23AD0"/>
    <w:rsid w:val="00D23AFE"/>
    <w:rsid w:val="00D241F3"/>
    <w:rsid w:val="00D24631"/>
    <w:rsid w:val="00D246F6"/>
    <w:rsid w:val="00D24E0E"/>
    <w:rsid w:val="00D25061"/>
    <w:rsid w:val="00D2525F"/>
    <w:rsid w:val="00D2548A"/>
    <w:rsid w:val="00D2561E"/>
    <w:rsid w:val="00D26349"/>
    <w:rsid w:val="00D2641D"/>
    <w:rsid w:val="00D265A2"/>
    <w:rsid w:val="00D2723C"/>
    <w:rsid w:val="00D275F7"/>
    <w:rsid w:val="00D276BA"/>
    <w:rsid w:val="00D278A1"/>
    <w:rsid w:val="00D27D86"/>
    <w:rsid w:val="00D3002D"/>
    <w:rsid w:val="00D3014E"/>
    <w:rsid w:val="00D306D7"/>
    <w:rsid w:val="00D30833"/>
    <w:rsid w:val="00D309C1"/>
    <w:rsid w:val="00D30F85"/>
    <w:rsid w:val="00D3100F"/>
    <w:rsid w:val="00D31059"/>
    <w:rsid w:val="00D31291"/>
    <w:rsid w:val="00D313A5"/>
    <w:rsid w:val="00D31683"/>
    <w:rsid w:val="00D318C1"/>
    <w:rsid w:val="00D31AD8"/>
    <w:rsid w:val="00D31C13"/>
    <w:rsid w:val="00D31CF7"/>
    <w:rsid w:val="00D31D1B"/>
    <w:rsid w:val="00D32203"/>
    <w:rsid w:val="00D32912"/>
    <w:rsid w:val="00D32EC6"/>
    <w:rsid w:val="00D33178"/>
    <w:rsid w:val="00D3353C"/>
    <w:rsid w:val="00D34042"/>
    <w:rsid w:val="00D3415C"/>
    <w:rsid w:val="00D34926"/>
    <w:rsid w:val="00D34930"/>
    <w:rsid w:val="00D35236"/>
    <w:rsid w:val="00D35618"/>
    <w:rsid w:val="00D35754"/>
    <w:rsid w:val="00D359D7"/>
    <w:rsid w:val="00D35F2B"/>
    <w:rsid w:val="00D36043"/>
    <w:rsid w:val="00D36173"/>
    <w:rsid w:val="00D36267"/>
    <w:rsid w:val="00D362DF"/>
    <w:rsid w:val="00D3649B"/>
    <w:rsid w:val="00D364A2"/>
    <w:rsid w:val="00D36537"/>
    <w:rsid w:val="00D36CC9"/>
    <w:rsid w:val="00D3771E"/>
    <w:rsid w:val="00D377C3"/>
    <w:rsid w:val="00D40409"/>
    <w:rsid w:val="00D40991"/>
    <w:rsid w:val="00D4117C"/>
    <w:rsid w:val="00D41201"/>
    <w:rsid w:val="00D4145C"/>
    <w:rsid w:val="00D41BC8"/>
    <w:rsid w:val="00D41D95"/>
    <w:rsid w:val="00D41FC5"/>
    <w:rsid w:val="00D42755"/>
    <w:rsid w:val="00D4278A"/>
    <w:rsid w:val="00D427AD"/>
    <w:rsid w:val="00D42968"/>
    <w:rsid w:val="00D42B02"/>
    <w:rsid w:val="00D4312E"/>
    <w:rsid w:val="00D431E0"/>
    <w:rsid w:val="00D4379E"/>
    <w:rsid w:val="00D43955"/>
    <w:rsid w:val="00D43AFA"/>
    <w:rsid w:val="00D43B5C"/>
    <w:rsid w:val="00D43D7D"/>
    <w:rsid w:val="00D43E88"/>
    <w:rsid w:val="00D43FB1"/>
    <w:rsid w:val="00D440AF"/>
    <w:rsid w:val="00D4485F"/>
    <w:rsid w:val="00D44B82"/>
    <w:rsid w:val="00D44BDA"/>
    <w:rsid w:val="00D44CCE"/>
    <w:rsid w:val="00D44D81"/>
    <w:rsid w:val="00D45401"/>
    <w:rsid w:val="00D45DCB"/>
    <w:rsid w:val="00D45FF7"/>
    <w:rsid w:val="00D46216"/>
    <w:rsid w:val="00D464D5"/>
    <w:rsid w:val="00D469C4"/>
    <w:rsid w:val="00D46A2E"/>
    <w:rsid w:val="00D47280"/>
    <w:rsid w:val="00D47362"/>
    <w:rsid w:val="00D477BD"/>
    <w:rsid w:val="00D47C3C"/>
    <w:rsid w:val="00D47CEB"/>
    <w:rsid w:val="00D50054"/>
    <w:rsid w:val="00D509DD"/>
    <w:rsid w:val="00D50C30"/>
    <w:rsid w:val="00D50FCC"/>
    <w:rsid w:val="00D51303"/>
    <w:rsid w:val="00D515D9"/>
    <w:rsid w:val="00D517A6"/>
    <w:rsid w:val="00D5238C"/>
    <w:rsid w:val="00D527EF"/>
    <w:rsid w:val="00D528EF"/>
    <w:rsid w:val="00D52A4C"/>
    <w:rsid w:val="00D52A60"/>
    <w:rsid w:val="00D52BFF"/>
    <w:rsid w:val="00D52D75"/>
    <w:rsid w:val="00D53005"/>
    <w:rsid w:val="00D53529"/>
    <w:rsid w:val="00D53924"/>
    <w:rsid w:val="00D539A7"/>
    <w:rsid w:val="00D53E73"/>
    <w:rsid w:val="00D54092"/>
    <w:rsid w:val="00D548DD"/>
    <w:rsid w:val="00D54C0D"/>
    <w:rsid w:val="00D550C5"/>
    <w:rsid w:val="00D552FD"/>
    <w:rsid w:val="00D556FE"/>
    <w:rsid w:val="00D55927"/>
    <w:rsid w:val="00D55C8E"/>
    <w:rsid w:val="00D55D0B"/>
    <w:rsid w:val="00D5614A"/>
    <w:rsid w:val="00D56264"/>
    <w:rsid w:val="00D56295"/>
    <w:rsid w:val="00D562F0"/>
    <w:rsid w:val="00D5633B"/>
    <w:rsid w:val="00D56437"/>
    <w:rsid w:val="00D56584"/>
    <w:rsid w:val="00D565D7"/>
    <w:rsid w:val="00D56643"/>
    <w:rsid w:val="00D56B10"/>
    <w:rsid w:val="00D56D45"/>
    <w:rsid w:val="00D56FD6"/>
    <w:rsid w:val="00D57249"/>
    <w:rsid w:val="00D57299"/>
    <w:rsid w:val="00D577FF"/>
    <w:rsid w:val="00D57AF7"/>
    <w:rsid w:val="00D57CB4"/>
    <w:rsid w:val="00D6009B"/>
    <w:rsid w:val="00D6012E"/>
    <w:rsid w:val="00D607BE"/>
    <w:rsid w:val="00D615E4"/>
    <w:rsid w:val="00D616C4"/>
    <w:rsid w:val="00D6176D"/>
    <w:rsid w:val="00D61A6C"/>
    <w:rsid w:val="00D61BA9"/>
    <w:rsid w:val="00D61F3B"/>
    <w:rsid w:val="00D620A6"/>
    <w:rsid w:val="00D623C7"/>
    <w:rsid w:val="00D624CA"/>
    <w:rsid w:val="00D62569"/>
    <w:rsid w:val="00D62CCD"/>
    <w:rsid w:val="00D62E85"/>
    <w:rsid w:val="00D62F96"/>
    <w:rsid w:val="00D6301A"/>
    <w:rsid w:val="00D63597"/>
    <w:rsid w:val="00D635B1"/>
    <w:rsid w:val="00D6363B"/>
    <w:rsid w:val="00D63690"/>
    <w:rsid w:val="00D6386F"/>
    <w:rsid w:val="00D63BFF"/>
    <w:rsid w:val="00D63F65"/>
    <w:rsid w:val="00D64520"/>
    <w:rsid w:val="00D647A2"/>
    <w:rsid w:val="00D64FC3"/>
    <w:rsid w:val="00D65123"/>
    <w:rsid w:val="00D653CD"/>
    <w:rsid w:val="00D6556A"/>
    <w:rsid w:val="00D65647"/>
    <w:rsid w:val="00D65F0F"/>
    <w:rsid w:val="00D66067"/>
    <w:rsid w:val="00D6629A"/>
    <w:rsid w:val="00D6633E"/>
    <w:rsid w:val="00D6653A"/>
    <w:rsid w:val="00D669B4"/>
    <w:rsid w:val="00D66E74"/>
    <w:rsid w:val="00D675F7"/>
    <w:rsid w:val="00D67653"/>
    <w:rsid w:val="00D676CF"/>
    <w:rsid w:val="00D67D6D"/>
    <w:rsid w:val="00D70ACC"/>
    <w:rsid w:val="00D70B0E"/>
    <w:rsid w:val="00D71F98"/>
    <w:rsid w:val="00D728C5"/>
    <w:rsid w:val="00D72C45"/>
    <w:rsid w:val="00D72F91"/>
    <w:rsid w:val="00D7336F"/>
    <w:rsid w:val="00D7377F"/>
    <w:rsid w:val="00D737B5"/>
    <w:rsid w:val="00D73894"/>
    <w:rsid w:val="00D738F4"/>
    <w:rsid w:val="00D74089"/>
    <w:rsid w:val="00D74561"/>
    <w:rsid w:val="00D7468C"/>
    <w:rsid w:val="00D748E5"/>
    <w:rsid w:val="00D74ACA"/>
    <w:rsid w:val="00D74CEC"/>
    <w:rsid w:val="00D74FEA"/>
    <w:rsid w:val="00D7515F"/>
    <w:rsid w:val="00D7572B"/>
    <w:rsid w:val="00D758F7"/>
    <w:rsid w:val="00D75ACC"/>
    <w:rsid w:val="00D75B5E"/>
    <w:rsid w:val="00D75EC3"/>
    <w:rsid w:val="00D763CA"/>
    <w:rsid w:val="00D764A5"/>
    <w:rsid w:val="00D7665D"/>
    <w:rsid w:val="00D76841"/>
    <w:rsid w:val="00D76A65"/>
    <w:rsid w:val="00D76BD7"/>
    <w:rsid w:val="00D76C2E"/>
    <w:rsid w:val="00D772D0"/>
    <w:rsid w:val="00D77621"/>
    <w:rsid w:val="00D77E73"/>
    <w:rsid w:val="00D7B806"/>
    <w:rsid w:val="00D800FB"/>
    <w:rsid w:val="00D8011A"/>
    <w:rsid w:val="00D806C9"/>
    <w:rsid w:val="00D8077E"/>
    <w:rsid w:val="00D80825"/>
    <w:rsid w:val="00D80CF1"/>
    <w:rsid w:val="00D8104C"/>
    <w:rsid w:val="00D8125A"/>
    <w:rsid w:val="00D814CD"/>
    <w:rsid w:val="00D81811"/>
    <w:rsid w:val="00D81BE4"/>
    <w:rsid w:val="00D81CE7"/>
    <w:rsid w:val="00D8228F"/>
    <w:rsid w:val="00D82341"/>
    <w:rsid w:val="00D823C0"/>
    <w:rsid w:val="00D82982"/>
    <w:rsid w:val="00D82A24"/>
    <w:rsid w:val="00D82C61"/>
    <w:rsid w:val="00D82E3C"/>
    <w:rsid w:val="00D82E64"/>
    <w:rsid w:val="00D82F19"/>
    <w:rsid w:val="00D82F4B"/>
    <w:rsid w:val="00D8313B"/>
    <w:rsid w:val="00D837AF"/>
    <w:rsid w:val="00D83FC2"/>
    <w:rsid w:val="00D8429F"/>
    <w:rsid w:val="00D84528"/>
    <w:rsid w:val="00D848BA"/>
    <w:rsid w:val="00D85B68"/>
    <w:rsid w:val="00D85D66"/>
    <w:rsid w:val="00D86AAE"/>
    <w:rsid w:val="00D86F47"/>
    <w:rsid w:val="00D87047"/>
    <w:rsid w:val="00D871C1"/>
    <w:rsid w:val="00D872A2"/>
    <w:rsid w:val="00D8784D"/>
    <w:rsid w:val="00D87EF5"/>
    <w:rsid w:val="00D906A5"/>
    <w:rsid w:val="00D9085F"/>
    <w:rsid w:val="00D91456"/>
    <w:rsid w:val="00D91A3A"/>
    <w:rsid w:val="00D91C08"/>
    <w:rsid w:val="00D91CAE"/>
    <w:rsid w:val="00D92521"/>
    <w:rsid w:val="00D92A9D"/>
    <w:rsid w:val="00D92AE1"/>
    <w:rsid w:val="00D92B53"/>
    <w:rsid w:val="00D933BB"/>
    <w:rsid w:val="00D93908"/>
    <w:rsid w:val="00D93B65"/>
    <w:rsid w:val="00D93E26"/>
    <w:rsid w:val="00D93FD7"/>
    <w:rsid w:val="00D94075"/>
    <w:rsid w:val="00D941F2"/>
    <w:rsid w:val="00D94C67"/>
    <w:rsid w:val="00D94CC6"/>
    <w:rsid w:val="00D94E68"/>
    <w:rsid w:val="00D94E71"/>
    <w:rsid w:val="00D94F3C"/>
    <w:rsid w:val="00D9521D"/>
    <w:rsid w:val="00D955A0"/>
    <w:rsid w:val="00D963C2"/>
    <w:rsid w:val="00D9651C"/>
    <w:rsid w:val="00D96817"/>
    <w:rsid w:val="00D96ED6"/>
    <w:rsid w:val="00D97F06"/>
    <w:rsid w:val="00DA07A5"/>
    <w:rsid w:val="00DA0DD4"/>
    <w:rsid w:val="00DA0F2C"/>
    <w:rsid w:val="00DA1127"/>
    <w:rsid w:val="00DA146B"/>
    <w:rsid w:val="00DA173A"/>
    <w:rsid w:val="00DA1A42"/>
    <w:rsid w:val="00DA1CE5"/>
    <w:rsid w:val="00DA215F"/>
    <w:rsid w:val="00DA27D5"/>
    <w:rsid w:val="00DA286D"/>
    <w:rsid w:val="00DA291E"/>
    <w:rsid w:val="00DA29DA"/>
    <w:rsid w:val="00DA2BE9"/>
    <w:rsid w:val="00DA2C59"/>
    <w:rsid w:val="00DA3072"/>
    <w:rsid w:val="00DA343B"/>
    <w:rsid w:val="00DA3549"/>
    <w:rsid w:val="00DA359A"/>
    <w:rsid w:val="00DA38DA"/>
    <w:rsid w:val="00DA38FC"/>
    <w:rsid w:val="00DA3CAD"/>
    <w:rsid w:val="00DA4223"/>
    <w:rsid w:val="00DA444F"/>
    <w:rsid w:val="00DA47DA"/>
    <w:rsid w:val="00DA487D"/>
    <w:rsid w:val="00DA4D76"/>
    <w:rsid w:val="00DA4DE4"/>
    <w:rsid w:val="00DA50D0"/>
    <w:rsid w:val="00DA57E2"/>
    <w:rsid w:val="00DA5A71"/>
    <w:rsid w:val="00DA5B83"/>
    <w:rsid w:val="00DA5D20"/>
    <w:rsid w:val="00DA6345"/>
    <w:rsid w:val="00DA64CF"/>
    <w:rsid w:val="00DA6A7E"/>
    <w:rsid w:val="00DA6B88"/>
    <w:rsid w:val="00DA709B"/>
    <w:rsid w:val="00DA743C"/>
    <w:rsid w:val="00DA75DA"/>
    <w:rsid w:val="00DB00E5"/>
    <w:rsid w:val="00DB0113"/>
    <w:rsid w:val="00DB0137"/>
    <w:rsid w:val="00DB04E1"/>
    <w:rsid w:val="00DB07D1"/>
    <w:rsid w:val="00DB0C56"/>
    <w:rsid w:val="00DB0F36"/>
    <w:rsid w:val="00DB116E"/>
    <w:rsid w:val="00DB118D"/>
    <w:rsid w:val="00DB1520"/>
    <w:rsid w:val="00DB1936"/>
    <w:rsid w:val="00DB194E"/>
    <w:rsid w:val="00DB1BF3"/>
    <w:rsid w:val="00DB2715"/>
    <w:rsid w:val="00DB29C2"/>
    <w:rsid w:val="00DB2BDD"/>
    <w:rsid w:val="00DB2CBE"/>
    <w:rsid w:val="00DB2EA8"/>
    <w:rsid w:val="00DB2F70"/>
    <w:rsid w:val="00DB3771"/>
    <w:rsid w:val="00DB3808"/>
    <w:rsid w:val="00DB48F3"/>
    <w:rsid w:val="00DB4A18"/>
    <w:rsid w:val="00DB4A1D"/>
    <w:rsid w:val="00DB4ABD"/>
    <w:rsid w:val="00DB4B3B"/>
    <w:rsid w:val="00DB51AA"/>
    <w:rsid w:val="00DB62FD"/>
    <w:rsid w:val="00DB6577"/>
    <w:rsid w:val="00DB6849"/>
    <w:rsid w:val="00DB68DB"/>
    <w:rsid w:val="00DB6FE1"/>
    <w:rsid w:val="00DB7038"/>
    <w:rsid w:val="00DB75B6"/>
    <w:rsid w:val="00DB7834"/>
    <w:rsid w:val="00DB7879"/>
    <w:rsid w:val="00DB78E2"/>
    <w:rsid w:val="00DB7BEB"/>
    <w:rsid w:val="00DC0ABD"/>
    <w:rsid w:val="00DC10CD"/>
    <w:rsid w:val="00DC124A"/>
    <w:rsid w:val="00DC1332"/>
    <w:rsid w:val="00DC158C"/>
    <w:rsid w:val="00DC1888"/>
    <w:rsid w:val="00DC1B14"/>
    <w:rsid w:val="00DC1E43"/>
    <w:rsid w:val="00DC1F68"/>
    <w:rsid w:val="00DC1FD7"/>
    <w:rsid w:val="00DC201F"/>
    <w:rsid w:val="00DC254F"/>
    <w:rsid w:val="00DC25E2"/>
    <w:rsid w:val="00DC28FC"/>
    <w:rsid w:val="00DC294C"/>
    <w:rsid w:val="00DC2DA7"/>
    <w:rsid w:val="00DC2F70"/>
    <w:rsid w:val="00DC302A"/>
    <w:rsid w:val="00DC3224"/>
    <w:rsid w:val="00DC3491"/>
    <w:rsid w:val="00DC36EA"/>
    <w:rsid w:val="00DC3BC7"/>
    <w:rsid w:val="00DC3F84"/>
    <w:rsid w:val="00DC4543"/>
    <w:rsid w:val="00DC4671"/>
    <w:rsid w:val="00DC4941"/>
    <w:rsid w:val="00DC4E11"/>
    <w:rsid w:val="00DC511B"/>
    <w:rsid w:val="00DC5130"/>
    <w:rsid w:val="00DC5151"/>
    <w:rsid w:val="00DC5560"/>
    <w:rsid w:val="00DC55CC"/>
    <w:rsid w:val="00DC571C"/>
    <w:rsid w:val="00DC57E0"/>
    <w:rsid w:val="00DC5B38"/>
    <w:rsid w:val="00DC5CAA"/>
    <w:rsid w:val="00DC5D28"/>
    <w:rsid w:val="00DC5F91"/>
    <w:rsid w:val="00DC62A3"/>
    <w:rsid w:val="00DC653E"/>
    <w:rsid w:val="00DC658C"/>
    <w:rsid w:val="00DC678F"/>
    <w:rsid w:val="00DC684C"/>
    <w:rsid w:val="00DC6AC1"/>
    <w:rsid w:val="00DC6D24"/>
    <w:rsid w:val="00DC6FFC"/>
    <w:rsid w:val="00DC7465"/>
    <w:rsid w:val="00DC755E"/>
    <w:rsid w:val="00DC7990"/>
    <w:rsid w:val="00DC7DD4"/>
    <w:rsid w:val="00DC7DE6"/>
    <w:rsid w:val="00DC7E67"/>
    <w:rsid w:val="00DD05FB"/>
    <w:rsid w:val="00DD0855"/>
    <w:rsid w:val="00DD0A23"/>
    <w:rsid w:val="00DD0ACF"/>
    <w:rsid w:val="00DD0F48"/>
    <w:rsid w:val="00DD0F53"/>
    <w:rsid w:val="00DD0FD9"/>
    <w:rsid w:val="00DD1763"/>
    <w:rsid w:val="00DD1954"/>
    <w:rsid w:val="00DD1B52"/>
    <w:rsid w:val="00DD1BAB"/>
    <w:rsid w:val="00DD1C85"/>
    <w:rsid w:val="00DD2323"/>
    <w:rsid w:val="00DD23E5"/>
    <w:rsid w:val="00DD256A"/>
    <w:rsid w:val="00DD2710"/>
    <w:rsid w:val="00DD29C9"/>
    <w:rsid w:val="00DD2A54"/>
    <w:rsid w:val="00DD2B3F"/>
    <w:rsid w:val="00DD2BF2"/>
    <w:rsid w:val="00DD3441"/>
    <w:rsid w:val="00DD35AD"/>
    <w:rsid w:val="00DD3821"/>
    <w:rsid w:val="00DD3FDD"/>
    <w:rsid w:val="00DD4008"/>
    <w:rsid w:val="00DD4424"/>
    <w:rsid w:val="00DD4B07"/>
    <w:rsid w:val="00DD4E2C"/>
    <w:rsid w:val="00DD4FC7"/>
    <w:rsid w:val="00DD5231"/>
    <w:rsid w:val="00DD5738"/>
    <w:rsid w:val="00DD581C"/>
    <w:rsid w:val="00DD5AC3"/>
    <w:rsid w:val="00DD5BC7"/>
    <w:rsid w:val="00DD6252"/>
    <w:rsid w:val="00DD6861"/>
    <w:rsid w:val="00DD6F9D"/>
    <w:rsid w:val="00DD7498"/>
    <w:rsid w:val="00DD7524"/>
    <w:rsid w:val="00DD758D"/>
    <w:rsid w:val="00DD76F3"/>
    <w:rsid w:val="00DD7709"/>
    <w:rsid w:val="00DD7874"/>
    <w:rsid w:val="00DD7BB3"/>
    <w:rsid w:val="00DD7D4D"/>
    <w:rsid w:val="00DD7FBF"/>
    <w:rsid w:val="00DE003B"/>
    <w:rsid w:val="00DE01C1"/>
    <w:rsid w:val="00DE026E"/>
    <w:rsid w:val="00DE05A8"/>
    <w:rsid w:val="00DE0D55"/>
    <w:rsid w:val="00DE10F4"/>
    <w:rsid w:val="00DE17C7"/>
    <w:rsid w:val="00DE1BFB"/>
    <w:rsid w:val="00DE1F98"/>
    <w:rsid w:val="00DE1FD6"/>
    <w:rsid w:val="00DE2053"/>
    <w:rsid w:val="00DE2502"/>
    <w:rsid w:val="00DE251C"/>
    <w:rsid w:val="00DE2AAD"/>
    <w:rsid w:val="00DE2B33"/>
    <w:rsid w:val="00DE2BD3"/>
    <w:rsid w:val="00DE3303"/>
    <w:rsid w:val="00DE35CF"/>
    <w:rsid w:val="00DE3934"/>
    <w:rsid w:val="00DE394F"/>
    <w:rsid w:val="00DE41E4"/>
    <w:rsid w:val="00DE4461"/>
    <w:rsid w:val="00DE49C0"/>
    <w:rsid w:val="00DE4F32"/>
    <w:rsid w:val="00DE507F"/>
    <w:rsid w:val="00DE509D"/>
    <w:rsid w:val="00DE5381"/>
    <w:rsid w:val="00DE5675"/>
    <w:rsid w:val="00DE593D"/>
    <w:rsid w:val="00DE5960"/>
    <w:rsid w:val="00DE63A8"/>
    <w:rsid w:val="00DE63FA"/>
    <w:rsid w:val="00DE64F7"/>
    <w:rsid w:val="00DE6659"/>
    <w:rsid w:val="00DE6946"/>
    <w:rsid w:val="00DE6B1F"/>
    <w:rsid w:val="00DE6EDA"/>
    <w:rsid w:val="00DE703B"/>
    <w:rsid w:val="00DE7867"/>
    <w:rsid w:val="00DE7965"/>
    <w:rsid w:val="00DE7AC7"/>
    <w:rsid w:val="00DF0016"/>
    <w:rsid w:val="00DF0250"/>
    <w:rsid w:val="00DF1148"/>
    <w:rsid w:val="00DF13BB"/>
    <w:rsid w:val="00DF1EBC"/>
    <w:rsid w:val="00DF1F3E"/>
    <w:rsid w:val="00DF2306"/>
    <w:rsid w:val="00DF253E"/>
    <w:rsid w:val="00DF281C"/>
    <w:rsid w:val="00DF2AA5"/>
    <w:rsid w:val="00DF2AEA"/>
    <w:rsid w:val="00DF2B81"/>
    <w:rsid w:val="00DF3592"/>
    <w:rsid w:val="00DF37D3"/>
    <w:rsid w:val="00DF43D3"/>
    <w:rsid w:val="00DF4458"/>
    <w:rsid w:val="00DF4782"/>
    <w:rsid w:val="00DF4878"/>
    <w:rsid w:val="00DF4BFA"/>
    <w:rsid w:val="00DF4D1B"/>
    <w:rsid w:val="00DF4E89"/>
    <w:rsid w:val="00DF4F3E"/>
    <w:rsid w:val="00DF522F"/>
    <w:rsid w:val="00DF54E9"/>
    <w:rsid w:val="00DF56D7"/>
    <w:rsid w:val="00DF5BE8"/>
    <w:rsid w:val="00DF603C"/>
    <w:rsid w:val="00DF62CD"/>
    <w:rsid w:val="00DF6502"/>
    <w:rsid w:val="00DF6594"/>
    <w:rsid w:val="00DF6900"/>
    <w:rsid w:val="00DF6C5A"/>
    <w:rsid w:val="00DF6D41"/>
    <w:rsid w:val="00DF6F52"/>
    <w:rsid w:val="00DF710A"/>
    <w:rsid w:val="00DF732A"/>
    <w:rsid w:val="00DF792A"/>
    <w:rsid w:val="00DF79C5"/>
    <w:rsid w:val="00DF7AE3"/>
    <w:rsid w:val="00DF7BA5"/>
    <w:rsid w:val="00E00294"/>
    <w:rsid w:val="00E002B0"/>
    <w:rsid w:val="00E00797"/>
    <w:rsid w:val="00E00943"/>
    <w:rsid w:val="00E00983"/>
    <w:rsid w:val="00E00D6D"/>
    <w:rsid w:val="00E0136B"/>
    <w:rsid w:val="00E014F5"/>
    <w:rsid w:val="00E0174C"/>
    <w:rsid w:val="00E01974"/>
    <w:rsid w:val="00E01B55"/>
    <w:rsid w:val="00E01EE5"/>
    <w:rsid w:val="00E02039"/>
    <w:rsid w:val="00E0283B"/>
    <w:rsid w:val="00E02F0E"/>
    <w:rsid w:val="00E02FE6"/>
    <w:rsid w:val="00E02FF7"/>
    <w:rsid w:val="00E03118"/>
    <w:rsid w:val="00E03422"/>
    <w:rsid w:val="00E03A00"/>
    <w:rsid w:val="00E03A77"/>
    <w:rsid w:val="00E03E2C"/>
    <w:rsid w:val="00E03E36"/>
    <w:rsid w:val="00E045C5"/>
    <w:rsid w:val="00E05266"/>
    <w:rsid w:val="00E053B4"/>
    <w:rsid w:val="00E053BB"/>
    <w:rsid w:val="00E05595"/>
    <w:rsid w:val="00E05930"/>
    <w:rsid w:val="00E05AB0"/>
    <w:rsid w:val="00E05CAA"/>
    <w:rsid w:val="00E05CD2"/>
    <w:rsid w:val="00E0646A"/>
    <w:rsid w:val="00E06C8B"/>
    <w:rsid w:val="00E071BB"/>
    <w:rsid w:val="00E0722E"/>
    <w:rsid w:val="00E07DE5"/>
    <w:rsid w:val="00E07E31"/>
    <w:rsid w:val="00E07F61"/>
    <w:rsid w:val="00E10560"/>
    <w:rsid w:val="00E11026"/>
    <w:rsid w:val="00E1103B"/>
    <w:rsid w:val="00E1147A"/>
    <w:rsid w:val="00E1151B"/>
    <w:rsid w:val="00E1155E"/>
    <w:rsid w:val="00E11A27"/>
    <w:rsid w:val="00E12189"/>
    <w:rsid w:val="00E12248"/>
    <w:rsid w:val="00E12A1A"/>
    <w:rsid w:val="00E12D9E"/>
    <w:rsid w:val="00E12DB5"/>
    <w:rsid w:val="00E133CB"/>
    <w:rsid w:val="00E134A0"/>
    <w:rsid w:val="00E13551"/>
    <w:rsid w:val="00E135E6"/>
    <w:rsid w:val="00E1365D"/>
    <w:rsid w:val="00E14303"/>
    <w:rsid w:val="00E1451F"/>
    <w:rsid w:val="00E146A3"/>
    <w:rsid w:val="00E1475D"/>
    <w:rsid w:val="00E149E6"/>
    <w:rsid w:val="00E14A17"/>
    <w:rsid w:val="00E14E0F"/>
    <w:rsid w:val="00E15065"/>
    <w:rsid w:val="00E15259"/>
    <w:rsid w:val="00E1569D"/>
    <w:rsid w:val="00E157D7"/>
    <w:rsid w:val="00E15B0C"/>
    <w:rsid w:val="00E15FDF"/>
    <w:rsid w:val="00E1604F"/>
    <w:rsid w:val="00E165A3"/>
    <w:rsid w:val="00E16CF5"/>
    <w:rsid w:val="00E1743F"/>
    <w:rsid w:val="00E1792D"/>
    <w:rsid w:val="00E17CAE"/>
    <w:rsid w:val="00E200B7"/>
    <w:rsid w:val="00E201BC"/>
    <w:rsid w:val="00E20433"/>
    <w:rsid w:val="00E2043F"/>
    <w:rsid w:val="00E20A77"/>
    <w:rsid w:val="00E20AC6"/>
    <w:rsid w:val="00E20AD2"/>
    <w:rsid w:val="00E20B10"/>
    <w:rsid w:val="00E20B23"/>
    <w:rsid w:val="00E210D5"/>
    <w:rsid w:val="00E213E6"/>
    <w:rsid w:val="00E218CA"/>
    <w:rsid w:val="00E21B8B"/>
    <w:rsid w:val="00E21F3D"/>
    <w:rsid w:val="00E224E3"/>
    <w:rsid w:val="00E22702"/>
    <w:rsid w:val="00E22CDE"/>
    <w:rsid w:val="00E22DE0"/>
    <w:rsid w:val="00E238D9"/>
    <w:rsid w:val="00E24206"/>
    <w:rsid w:val="00E242D3"/>
    <w:rsid w:val="00E2473B"/>
    <w:rsid w:val="00E24A91"/>
    <w:rsid w:val="00E24B1B"/>
    <w:rsid w:val="00E24DF9"/>
    <w:rsid w:val="00E255B0"/>
    <w:rsid w:val="00E25C71"/>
    <w:rsid w:val="00E25CE8"/>
    <w:rsid w:val="00E25DCB"/>
    <w:rsid w:val="00E25FB0"/>
    <w:rsid w:val="00E260F8"/>
    <w:rsid w:val="00E26308"/>
    <w:rsid w:val="00E263AE"/>
    <w:rsid w:val="00E263E2"/>
    <w:rsid w:val="00E264B5"/>
    <w:rsid w:val="00E26C9C"/>
    <w:rsid w:val="00E26EB3"/>
    <w:rsid w:val="00E272EB"/>
    <w:rsid w:val="00E2741B"/>
    <w:rsid w:val="00E2757E"/>
    <w:rsid w:val="00E276BD"/>
    <w:rsid w:val="00E277D7"/>
    <w:rsid w:val="00E27813"/>
    <w:rsid w:val="00E303FE"/>
    <w:rsid w:val="00E30449"/>
    <w:rsid w:val="00E30479"/>
    <w:rsid w:val="00E30BF3"/>
    <w:rsid w:val="00E30D8B"/>
    <w:rsid w:val="00E3130D"/>
    <w:rsid w:val="00E317C6"/>
    <w:rsid w:val="00E31A45"/>
    <w:rsid w:val="00E31D63"/>
    <w:rsid w:val="00E31DF7"/>
    <w:rsid w:val="00E31E5C"/>
    <w:rsid w:val="00E31F8A"/>
    <w:rsid w:val="00E32143"/>
    <w:rsid w:val="00E32528"/>
    <w:rsid w:val="00E326E1"/>
    <w:rsid w:val="00E32D10"/>
    <w:rsid w:val="00E33054"/>
    <w:rsid w:val="00E332B6"/>
    <w:rsid w:val="00E336C4"/>
    <w:rsid w:val="00E3386D"/>
    <w:rsid w:val="00E339B9"/>
    <w:rsid w:val="00E33A62"/>
    <w:rsid w:val="00E34376"/>
    <w:rsid w:val="00E343E0"/>
    <w:rsid w:val="00E34760"/>
    <w:rsid w:val="00E34A11"/>
    <w:rsid w:val="00E34AD5"/>
    <w:rsid w:val="00E34C7B"/>
    <w:rsid w:val="00E34D5D"/>
    <w:rsid w:val="00E3517D"/>
    <w:rsid w:val="00E360C9"/>
    <w:rsid w:val="00E361ED"/>
    <w:rsid w:val="00E365C1"/>
    <w:rsid w:val="00E36862"/>
    <w:rsid w:val="00E36ACA"/>
    <w:rsid w:val="00E36DAF"/>
    <w:rsid w:val="00E377FC"/>
    <w:rsid w:val="00E37A86"/>
    <w:rsid w:val="00E40462"/>
    <w:rsid w:val="00E40570"/>
    <w:rsid w:val="00E41023"/>
    <w:rsid w:val="00E4138F"/>
    <w:rsid w:val="00E41665"/>
    <w:rsid w:val="00E4177C"/>
    <w:rsid w:val="00E422A5"/>
    <w:rsid w:val="00E424ED"/>
    <w:rsid w:val="00E4280F"/>
    <w:rsid w:val="00E42F4C"/>
    <w:rsid w:val="00E430FA"/>
    <w:rsid w:val="00E43AC2"/>
    <w:rsid w:val="00E43F65"/>
    <w:rsid w:val="00E44386"/>
    <w:rsid w:val="00E4446B"/>
    <w:rsid w:val="00E4511D"/>
    <w:rsid w:val="00E4567A"/>
    <w:rsid w:val="00E4584E"/>
    <w:rsid w:val="00E458B8"/>
    <w:rsid w:val="00E45F6B"/>
    <w:rsid w:val="00E46689"/>
    <w:rsid w:val="00E4676D"/>
    <w:rsid w:val="00E46897"/>
    <w:rsid w:val="00E468B8"/>
    <w:rsid w:val="00E46A8C"/>
    <w:rsid w:val="00E46B9C"/>
    <w:rsid w:val="00E4760E"/>
    <w:rsid w:val="00E4789C"/>
    <w:rsid w:val="00E47C21"/>
    <w:rsid w:val="00E47D9B"/>
    <w:rsid w:val="00E47E1F"/>
    <w:rsid w:val="00E5047E"/>
    <w:rsid w:val="00E50581"/>
    <w:rsid w:val="00E506EB"/>
    <w:rsid w:val="00E50A75"/>
    <w:rsid w:val="00E50EB5"/>
    <w:rsid w:val="00E5116D"/>
    <w:rsid w:val="00E51176"/>
    <w:rsid w:val="00E51BFD"/>
    <w:rsid w:val="00E52950"/>
    <w:rsid w:val="00E53405"/>
    <w:rsid w:val="00E53A7C"/>
    <w:rsid w:val="00E53DC7"/>
    <w:rsid w:val="00E540EE"/>
    <w:rsid w:val="00E544F4"/>
    <w:rsid w:val="00E54E01"/>
    <w:rsid w:val="00E54EDB"/>
    <w:rsid w:val="00E55139"/>
    <w:rsid w:val="00E55347"/>
    <w:rsid w:val="00E55833"/>
    <w:rsid w:val="00E55AD1"/>
    <w:rsid w:val="00E55C60"/>
    <w:rsid w:val="00E55C6C"/>
    <w:rsid w:val="00E55E0C"/>
    <w:rsid w:val="00E55E1C"/>
    <w:rsid w:val="00E56009"/>
    <w:rsid w:val="00E5656C"/>
    <w:rsid w:val="00E5676C"/>
    <w:rsid w:val="00E5691F"/>
    <w:rsid w:val="00E56ACA"/>
    <w:rsid w:val="00E56E67"/>
    <w:rsid w:val="00E57311"/>
    <w:rsid w:val="00E5735C"/>
    <w:rsid w:val="00E573F7"/>
    <w:rsid w:val="00E57421"/>
    <w:rsid w:val="00E57C38"/>
    <w:rsid w:val="00E57FB8"/>
    <w:rsid w:val="00E603A0"/>
    <w:rsid w:val="00E60444"/>
    <w:rsid w:val="00E60928"/>
    <w:rsid w:val="00E60A94"/>
    <w:rsid w:val="00E60D69"/>
    <w:rsid w:val="00E6149D"/>
    <w:rsid w:val="00E6187B"/>
    <w:rsid w:val="00E6194B"/>
    <w:rsid w:val="00E61D64"/>
    <w:rsid w:val="00E6246A"/>
    <w:rsid w:val="00E628F9"/>
    <w:rsid w:val="00E62ABC"/>
    <w:rsid w:val="00E62C79"/>
    <w:rsid w:val="00E630CC"/>
    <w:rsid w:val="00E63141"/>
    <w:rsid w:val="00E63B93"/>
    <w:rsid w:val="00E63CE2"/>
    <w:rsid w:val="00E64436"/>
    <w:rsid w:val="00E64548"/>
    <w:rsid w:val="00E64559"/>
    <w:rsid w:val="00E64741"/>
    <w:rsid w:val="00E64861"/>
    <w:rsid w:val="00E64C8A"/>
    <w:rsid w:val="00E64F7E"/>
    <w:rsid w:val="00E656B7"/>
    <w:rsid w:val="00E65A95"/>
    <w:rsid w:val="00E65B63"/>
    <w:rsid w:val="00E65D8A"/>
    <w:rsid w:val="00E66105"/>
    <w:rsid w:val="00E661A9"/>
    <w:rsid w:val="00E664B5"/>
    <w:rsid w:val="00E66A48"/>
    <w:rsid w:val="00E66BF6"/>
    <w:rsid w:val="00E670F0"/>
    <w:rsid w:val="00E677B6"/>
    <w:rsid w:val="00E67859"/>
    <w:rsid w:val="00E6788D"/>
    <w:rsid w:val="00E67894"/>
    <w:rsid w:val="00E678BD"/>
    <w:rsid w:val="00E7085A"/>
    <w:rsid w:val="00E710C5"/>
    <w:rsid w:val="00E71551"/>
    <w:rsid w:val="00E715F0"/>
    <w:rsid w:val="00E716EF"/>
    <w:rsid w:val="00E71778"/>
    <w:rsid w:val="00E71AEF"/>
    <w:rsid w:val="00E71BB4"/>
    <w:rsid w:val="00E71DD9"/>
    <w:rsid w:val="00E72064"/>
    <w:rsid w:val="00E72880"/>
    <w:rsid w:val="00E72893"/>
    <w:rsid w:val="00E732D2"/>
    <w:rsid w:val="00E732FB"/>
    <w:rsid w:val="00E7348F"/>
    <w:rsid w:val="00E73747"/>
    <w:rsid w:val="00E738A8"/>
    <w:rsid w:val="00E73CBD"/>
    <w:rsid w:val="00E7409D"/>
    <w:rsid w:val="00E743A6"/>
    <w:rsid w:val="00E74E8F"/>
    <w:rsid w:val="00E75E0C"/>
    <w:rsid w:val="00E75EFB"/>
    <w:rsid w:val="00E76B55"/>
    <w:rsid w:val="00E76B57"/>
    <w:rsid w:val="00E76BB6"/>
    <w:rsid w:val="00E76BCB"/>
    <w:rsid w:val="00E76EAD"/>
    <w:rsid w:val="00E77118"/>
    <w:rsid w:val="00E8003A"/>
    <w:rsid w:val="00E803F4"/>
    <w:rsid w:val="00E80A8A"/>
    <w:rsid w:val="00E80CC7"/>
    <w:rsid w:val="00E814C3"/>
    <w:rsid w:val="00E8177D"/>
    <w:rsid w:val="00E819AF"/>
    <w:rsid w:val="00E81D69"/>
    <w:rsid w:val="00E824FA"/>
    <w:rsid w:val="00E82AAB"/>
    <w:rsid w:val="00E82F64"/>
    <w:rsid w:val="00E8360E"/>
    <w:rsid w:val="00E83917"/>
    <w:rsid w:val="00E8391B"/>
    <w:rsid w:val="00E83A5A"/>
    <w:rsid w:val="00E8427A"/>
    <w:rsid w:val="00E84E9E"/>
    <w:rsid w:val="00E854E8"/>
    <w:rsid w:val="00E8553A"/>
    <w:rsid w:val="00E859C0"/>
    <w:rsid w:val="00E859C4"/>
    <w:rsid w:val="00E85BC0"/>
    <w:rsid w:val="00E85D51"/>
    <w:rsid w:val="00E85DB2"/>
    <w:rsid w:val="00E864F4"/>
    <w:rsid w:val="00E86BBE"/>
    <w:rsid w:val="00E86C4E"/>
    <w:rsid w:val="00E87475"/>
    <w:rsid w:val="00E87DA4"/>
    <w:rsid w:val="00E90273"/>
    <w:rsid w:val="00E905C3"/>
    <w:rsid w:val="00E90C62"/>
    <w:rsid w:val="00E90C9B"/>
    <w:rsid w:val="00E90EA3"/>
    <w:rsid w:val="00E9127A"/>
    <w:rsid w:val="00E9142D"/>
    <w:rsid w:val="00E91580"/>
    <w:rsid w:val="00E9173B"/>
    <w:rsid w:val="00E91CAB"/>
    <w:rsid w:val="00E91CBD"/>
    <w:rsid w:val="00E92558"/>
    <w:rsid w:val="00E927C7"/>
    <w:rsid w:val="00E9292B"/>
    <w:rsid w:val="00E92EFF"/>
    <w:rsid w:val="00E93289"/>
    <w:rsid w:val="00E9350A"/>
    <w:rsid w:val="00E939B9"/>
    <w:rsid w:val="00E93A22"/>
    <w:rsid w:val="00E93D4C"/>
    <w:rsid w:val="00E93F7A"/>
    <w:rsid w:val="00E942B8"/>
    <w:rsid w:val="00E94C86"/>
    <w:rsid w:val="00E94E25"/>
    <w:rsid w:val="00E94F8A"/>
    <w:rsid w:val="00E9508E"/>
    <w:rsid w:val="00E95A44"/>
    <w:rsid w:val="00E95A85"/>
    <w:rsid w:val="00E95B7F"/>
    <w:rsid w:val="00E95D4E"/>
    <w:rsid w:val="00E96119"/>
    <w:rsid w:val="00E96557"/>
    <w:rsid w:val="00E96B89"/>
    <w:rsid w:val="00E9758E"/>
    <w:rsid w:val="00E97F19"/>
    <w:rsid w:val="00EA0200"/>
    <w:rsid w:val="00EA1017"/>
    <w:rsid w:val="00EA10E1"/>
    <w:rsid w:val="00EA11FB"/>
    <w:rsid w:val="00EA1411"/>
    <w:rsid w:val="00EA1482"/>
    <w:rsid w:val="00EA15D4"/>
    <w:rsid w:val="00EA16C3"/>
    <w:rsid w:val="00EA17A6"/>
    <w:rsid w:val="00EA1B58"/>
    <w:rsid w:val="00EA1E7E"/>
    <w:rsid w:val="00EA1E98"/>
    <w:rsid w:val="00EA1ECC"/>
    <w:rsid w:val="00EA23A3"/>
    <w:rsid w:val="00EA2527"/>
    <w:rsid w:val="00EA285F"/>
    <w:rsid w:val="00EA2869"/>
    <w:rsid w:val="00EA2B28"/>
    <w:rsid w:val="00EA2B94"/>
    <w:rsid w:val="00EA301C"/>
    <w:rsid w:val="00EA34F9"/>
    <w:rsid w:val="00EA37FB"/>
    <w:rsid w:val="00EA3827"/>
    <w:rsid w:val="00EA3AC5"/>
    <w:rsid w:val="00EA3C71"/>
    <w:rsid w:val="00EA3E14"/>
    <w:rsid w:val="00EA458D"/>
    <w:rsid w:val="00EA46D1"/>
    <w:rsid w:val="00EA48A5"/>
    <w:rsid w:val="00EA4BB3"/>
    <w:rsid w:val="00EA4D22"/>
    <w:rsid w:val="00EA4D7A"/>
    <w:rsid w:val="00EA55D5"/>
    <w:rsid w:val="00EA5808"/>
    <w:rsid w:val="00EA582E"/>
    <w:rsid w:val="00EA59E3"/>
    <w:rsid w:val="00EA5ADC"/>
    <w:rsid w:val="00EA5B34"/>
    <w:rsid w:val="00EA6BB3"/>
    <w:rsid w:val="00EA6DA1"/>
    <w:rsid w:val="00EA7700"/>
    <w:rsid w:val="00EA7C79"/>
    <w:rsid w:val="00EA7E91"/>
    <w:rsid w:val="00EA7FAA"/>
    <w:rsid w:val="00EB0029"/>
    <w:rsid w:val="00EB0216"/>
    <w:rsid w:val="00EB056F"/>
    <w:rsid w:val="00EB0AA4"/>
    <w:rsid w:val="00EB105F"/>
    <w:rsid w:val="00EB151A"/>
    <w:rsid w:val="00EB15E1"/>
    <w:rsid w:val="00EB18E0"/>
    <w:rsid w:val="00EB1D69"/>
    <w:rsid w:val="00EB1F76"/>
    <w:rsid w:val="00EB2307"/>
    <w:rsid w:val="00EB2C70"/>
    <w:rsid w:val="00EB2CF2"/>
    <w:rsid w:val="00EB2D1C"/>
    <w:rsid w:val="00EB2E03"/>
    <w:rsid w:val="00EB2EEB"/>
    <w:rsid w:val="00EB31E9"/>
    <w:rsid w:val="00EB35A6"/>
    <w:rsid w:val="00EB3AA0"/>
    <w:rsid w:val="00EB3B56"/>
    <w:rsid w:val="00EB3E41"/>
    <w:rsid w:val="00EB41F7"/>
    <w:rsid w:val="00EB4960"/>
    <w:rsid w:val="00EB49D8"/>
    <w:rsid w:val="00EB4B5A"/>
    <w:rsid w:val="00EB4CCA"/>
    <w:rsid w:val="00EB4D9F"/>
    <w:rsid w:val="00EB55E4"/>
    <w:rsid w:val="00EB58CF"/>
    <w:rsid w:val="00EB5B43"/>
    <w:rsid w:val="00EB5D43"/>
    <w:rsid w:val="00EB5F97"/>
    <w:rsid w:val="00EB6888"/>
    <w:rsid w:val="00EB69E2"/>
    <w:rsid w:val="00EB6C3F"/>
    <w:rsid w:val="00EB6C7E"/>
    <w:rsid w:val="00EB6FC1"/>
    <w:rsid w:val="00EB75D1"/>
    <w:rsid w:val="00EC00FC"/>
    <w:rsid w:val="00EC0550"/>
    <w:rsid w:val="00EC0D0D"/>
    <w:rsid w:val="00EC0D44"/>
    <w:rsid w:val="00EC0DF1"/>
    <w:rsid w:val="00EC114D"/>
    <w:rsid w:val="00EC118E"/>
    <w:rsid w:val="00EC12A2"/>
    <w:rsid w:val="00EC1370"/>
    <w:rsid w:val="00EC138C"/>
    <w:rsid w:val="00EC13B3"/>
    <w:rsid w:val="00EC182E"/>
    <w:rsid w:val="00EC1CDC"/>
    <w:rsid w:val="00EC1E50"/>
    <w:rsid w:val="00EC25C9"/>
    <w:rsid w:val="00EC2690"/>
    <w:rsid w:val="00EC27D8"/>
    <w:rsid w:val="00EC2AD0"/>
    <w:rsid w:val="00EC2D41"/>
    <w:rsid w:val="00EC35B4"/>
    <w:rsid w:val="00EC3C25"/>
    <w:rsid w:val="00EC3DBE"/>
    <w:rsid w:val="00EC5177"/>
    <w:rsid w:val="00EC56D4"/>
    <w:rsid w:val="00EC5876"/>
    <w:rsid w:val="00EC5F5A"/>
    <w:rsid w:val="00EC61C2"/>
    <w:rsid w:val="00EC64CC"/>
    <w:rsid w:val="00EC66D7"/>
    <w:rsid w:val="00EC6C70"/>
    <w:rsid w:val="00EC6EDF"/>
    <w:rsid w:val="00EC74CE"/>
    <w:rsid w:val="00EC7608"/>
    <w:rsid w:val="00EC7881"/>
    <w:rsid w:val="00EC79E2"/>
    <w:rsid w:val="00EC7E98"/>
    <w:rsid w:val="00ED00D4"/>
    <w:rsid w:val="00ED0386"/>
    <w:rsid w:val="00ED03A8"/>
    <w:rsid w:val="00ED0543"/>
    <w:rsid w:val="00ED09EC"/>
    <w:rsid w:val="00ED0CDC"/>
    <w:rsid w:val="00ED0E53"/>
    <w:rsid w:val="00ED0F4A"/>
    <w:rsid w:val="00ED0F80"/>
    <w:rsid w:val="00ED15BF"/>
    <w:rsid w:val="00ED198A"/>
    <w:rsid w:val="00ED19C3"/>
    <w:rsid w:val="00ED1C21"/>
    <w:rsid w:val="00ED22CB"/>
    <w:rsid w:val="00ED2405"/>
    <w:rsid w:val="00ED24AB"/>
    <w:rsid w:val="00ED2981"/>
    <w:rsid w:val="00ED2AE4"/>
    <w:rsid w:val="00ED2B2F"/>
    <w:rsid w:val="00ED2C16"/>
    <w:rsid w:val="00ED334A"/>
    <w:rsid w:val="00ED3BE2"/>
    <w:rsid w:val="00ED3E2F"/>
    <w:rsid w:val="00ED3E4E"/>
    <w:rsid w:val="00ED459A"/>
    <w:rsid w:val="00ED45BC"/>
    <w:rsid w:val="00ED4710"/>
    <w:rsid w:val="00ED492E"/>
    <w:rsid w:val="00ED4F5E"/>
    <w:rsid w:val="00ED5725"/>
    <w:rsid w:val="00ED5825"/>
    <w:rsid w:val="00ED59A7"/>
    <w:rsid w:val="00ED5BE7"/>
    <w:rsid w:val="00ED60E9"/>
    <w:rsid w:val="00ED621C"/>
    <w:rsid w:val="00ED622E"/>
    <w:rsid w:val="00ED631A"/>
    <w:rsid w:val="00ED66AD"/>
    <w:rsid w:val="00ED712A"/>
    <w:rsid w:val="00ED725C"/>
    <w:rsid w:val="00ED730A"/>
    <w:rsid w:val="00ED76E4"/>
    <w:rsid w:val="00ED7E10"/>
    <w:rsid w:val="00ED7E1D"/>
    <w:rsid w:val="00EE0482"/>
    <w:rsid w:val="00EE05B6"/>
    <w:rsid w:val="00EE0D71"/>
    <w:rsid w:val="00EE0DFC"/>
    <w:rsid w:val="00EE1262"/>
    <w:rsid w:val="00EE163F"/>
    <w:rsid w:val="00EE179B"/>
    <w:rsid w:val="00EE1FE0"/>
    <w:rsid w:val="00EE205D"/>
    <w:rsid w:val="00EE244C"/>
    <w:rsid w:val="00EE2AAB"/>
    <w:rsid w:val="00EE30A7"/>
    <w:rsid w:val="00EE311F"/>
    <w:rsid w:val="00EE34EF"/>
    <w:rsid w:val="00EE3956"/>
    <w:rsid w:val="00EE3DC4"/>
    <w:rsid w:val="00EE3EA8"/>
    <w:rsid w:val="00EE42B8"/>
    <w:rsid w:val="00EE4329"/>
    <w:rsid w:val="00EE486E"/>
    <w:rsid w:val="00EE4A9A"/>
    <w:rsid w:val="00EE4E7F"/>
    <w:rsid w:val="00EE5208"/>
    <w:rsid w:val="00EE5338"/>
    <w:rsid w:val="00EE548C"/>
    <w:rsid w:val="00EE5498"/>
    <w:rsid w:val="00EE55B3"/>
    <w:rsid w:val="00EE5CC9"/>
    <w:rsid w:val="00EE5DF4"/>
    <w:rsid w:val="00EE6137"/>
    <w:rsid w:val="00EE6380"/>
    <w:rsid w:val="00EE642A"/>
    <w:rsid w:val="00EE65BE"/>
    <w:rsid w:val="00EE660C"/>
    <w:rsid w:val="00EE6A55"/>
    <w:rsid w:val="00EE74D3"/>
    <w:rsid w:val="00EE7925"/>
    <w:rsid w:val="00EE79EA"/>
    <w:rsid w:val="00EE7D0A"/>
    <w:rsid w:val="00EE7D5C"/>
    <w:rsid w:val="00EF001D"/>
    <w:rsid w:val="00EF007A"/>
    <w:rsid w:val="00EF0D9A"/>
    <w:rsid w:val="00EF14EE"/>
    <w:rsid w:val="00EF153E"/>
    <w:rsid w:val="00EF1EB5"/>
    <w:rsid w:val="00EF1FFD"/>
    <w:rsid w:val="00EF2166"/>
    <w:rsid w:val="00EF2281"/>
    <w:rsid w:val="00EF2647"/>
    <w:rsid w:val="00EF2B48"/>
    <w:rsid w:val="00EF2D53"/>
    <w:rsid w:val="00EF2FDF"/>
    <w:rsid w:val="00EF3200"/>
    <w:rsid w:val="00EF367C"/>
    <w:rsid w:val="00EF3B07"/>
    <w:rsid w:val="00EF3BAA"/>
    <w:rsid w:val="00EF3C15"/>
    <w:rsid w:val="00EF4551"/>
    <w:rsid w:val="00EF4A10"/>
    <w:rsid w:val="00EF4D9C"/>
    <w:rsid w:val="00EF4F5F"/>
    <w:rsid w:val="00EF512D"/>
    <w:rsid w:val="00EF5854"/>
    <w:rsid w:val="00EF5A38"/>
    <w:rsid w:val="00EF5E95"/>
    <w:rsid w:val="00EF627E"/>
    <w:rsid w:val="00EF7233"/>
    <w:rsid w:val="00EF74AF"/>
    <w:rsid w:val="00EF7C66"/>
    <w:rsid w:val="00F009A3"/>
    <w:rsid w:val="00F00ADC"/>
    <w:rsid w:val="00F00AF5"/>
    <w:rsid w:val="00F00D6C"/>
    <w:rsid w:val="00F00DCE"/>
    <w:rsid w:val="00F00F93"/>
    <w:rsid w:val="00F0100A"/>
    <w:rsid w:val="00F010DB"/>
    <w:rsid w:val="00F0137B"/>
    <w:rsid w:val="00F01522"/>
    <w:rsid w:val="00F016F5"/>
    <w:rsid w:val="00F01ACA"/>
    <w:rsid w:val="00F0222B"/>
    <w:rsid w:val="00F025C9"/>
    <w:rsid w:val="00F02629"/>
    <w:rsid w:val="00F02641"/>
    <w:rsid w:val="00F029BB"/>
    <w:rsid w:val="00F02B58"/>
    <w:rsid w:val="00F02BE9"/>
    <w:rsid w:val="00F03074"/>
    <w:rsid w:val="00F030F7"/>
    <w:rsid w:val="00F033EE"/>
    <w:rsid w:val="00F03753"/>
    <w:rsid w:val="00F04402"/>
    <w:rsid w:val="00F046E2"/>
    <w:rsid w:val="00F04E32"/>
    <w:rsid w:val="00F04F21"/>
    <w:rsid w:val="00F05116"/>
    <w:rsid w:val="00F054A8"/>
    <w:rsid w:val="00F05512"/>
    <w:rsid w:val="00F05D82"/>
    <w:rsid w:val="00F05F61"/>
    <w:rsid w:val="00F060B0"/>
    <w:rsid w:val="00F065B6"/>
    <w:rsid w:val="00F066F2"/>
    <w:rsid w:val="00F067FD"/>
    <w:rsid w:val="00F06CBE"/>
    <w:rsid w:val="00F07076"/>
    <w:rsid w:val="00F07F2C"/>
    <w:rsid w:val="00F100FA"/>
    <w:rsid w:val="00F101D0"/>
    <w:rsid w:val="00F1023E"/>
    <w:rsid w:val="00F10374"/>
    <w:rsid w:val="00F103A7"/>
    <w:rsid w:val="00F109DD"/>
    <w:rsid w:val="00F10D5F"/>
    <w:rsid w:val="00F1153B"/>
    <w:rsid w:val="00F11692"/>
    <w:rsid w:val="00F11B62"/>
    <w:rsid w:val="00F11D8F"/>
    <w:rsid w:val="00F12048"/>
    <w:rsid w:val="00F125BB"/>
    <w:rsid w:val="00F1261F"/>
    <w:rsid w:val="00F12811"/>
    <w:rsid w:val="00F128C7"/>
    <w:rsid w:val="00F13AC4"/>
    <w:rsid w:val="00F13BF8"/>
    <w:rsid w:val="00F13CA6"/>
    <w:rsid w:val="00F13FB2"/>
    <w:rsid w:val="00F1405B"/>
    <w:rsid w:val="00F1464F"/>
    <w:rsid w:val="00F148C1"/>
    <w:rsid w:val="00F14A0D"/>
    <w:rsid w:val="00F14A11"/>
    <w:rsid w:val="00F14B61"/>
    <w:rsid w:val="00F14B76"/>
    <w:rsid w:val="00F14BBE"/>
    <w:rsid w:val="00F14E15"/>
    <w:rsid w:val="00F150A3"/>
    <w:rsid w:val="00F153FE"/>
    <w:rsid w:val="00F15623"/>
    <w:rsid w:val="00F15910"/>
    <w:rsid w:val="00F15BD7"/>
    <w:rsid w:val="00F16753"/>
    <w:rsid w:val="00F1678C"/>
    <w:rsid w:val="00F1692A"/>
    <w:rsid w:val="00F171D9"/>
    <w:rsid w:val="00F17655"/>
    <w:rsid w:val="00F17789"/>
    <w:rsid w:val="00F17926"/>
    <w:rsid w:val="00F202C5"/>
    <w:rsid w:val="00F205DE"/>
    <w:rsid w:val="00F20780"/>
    <w:rsid w:val="00F207AC"/>
    <w:rsid w:val="00F20BA6"/>
    <w:rsid w:val="00F20F84"/>
    <w:rsid w:val="00F216B9"/>
    <w:rsid w:val="00F218E6"/>
    <w:rsid w:val="00F21CFF"/>
    <w:rsid w:val="00F22170"/>
    <w:rsid w:val="00F22247"/>
    <w:rsid w:val="00F2264F"/>
    <w:rsid w:val="00F22971"/>
    <w:rsid w:val="00F22A4A"/>
    <w:rsid w:val="00F22F85"/>
    <w:rsid w:val="00F233BE"/>
    <w:rsid w:val="00F23599"/>
    <w:rsid w:val="00F238E2"/>
    <w:rsid w:val="00F23DA3"/>
    <w:rsid w:val="00F23E03"/>
    <w:rsid w:val="00F2424A"/>
    <w:rsid w:val="00F242D1"/>
    <w:rsid w:val="00F24513"/>
    <w:rsid w:val="00F24940"/>
    <w:rsid w:val="00F24F03"/>
    <w:rsid w:val="00F25A0D"/>
    <w:rsid w:val="00F25A94"/>
    <w:rsid w:val="00F25D60"/>
    <w:rsid w:val="00F25DB8"/>
    <w:rsid w:val="00F25FD1"/>
    <w:rsid w:val="00F260C1"/>
    <w:rsid w:val="00F262B6"/>
    <w:rsid w:val="00F266EE"/>
    <w:rsid w:val="00F26852"/>
    <w:rsid w:val="00F269F3"/>
    <w:rsid w:val="00F26F63"/>
    <w:rsid w:val="00F273F6"/>
    <w:rsid w:val="00F27B4F"/>
    <w:rsid w:val="00F27DE7"/>
    <w:rsid w:val="00F301A0"/>
    <w:rsid w:val="00F30271"/>
    <w:rsid w:val="00F30E28"/>
    <w:rsid w:val="00F311FF"/>
    <w:rsid w:val="00F31DCC"/>
    <w:rsid w:val="00F31EC8"/>
    <w:rsid w:val="00F31F1F"/>
    <w:rsid w:val="00F327E3"/>
    <w:rsid w:val="00F32C4A"/>
    <w:rsid w:val="00F32E9B"/>
    <w:rsid w:val="00F3329A"/>
    <w:rsid w:val="00F33A15"/>
    <w:rsid w:val="00F33B66"/>
    <w:rsid w:val="00F33D2B"/>
    <w:rsid w:val="00F348FC"/>
    <w:rsid w:val="00F3499E"/>
    <w:rsid w:val="00F34DAD"/>
    <w:rsid w:val="00F34E5E"/>
    <w:rsid w:val="00F35338"/>
    <w:rsid w:val="00F35583"/>
    <w:rsid w:val="00F35C60"/>
    <w:rsid w:val="00F35D83"/>
    <w:rsid w:val="00F3623D"/>
    <w:rsid w:val="00F363A5"/>
    <w:rsid w:val="00F367A1"/>
    <w:rsid w:val="00F36B41"/>
    <w:rsid w:val="00F36E74"/>
    <w:rsid w:val="00F3713C"/>
    <w:rsid w:val="00F37753"/>
    <w:rsid w:val="00F377B2"/>
    <w:rsid w:val="00F37DB0"/>
    <w:rsid w:val="00F37E4B"/>
    <w:rsid w:val="00F40084"/>
    <w:rsid w:val="00F40353"/>
    <w:rsid w:val="00F40581"/>
    <w:rsid w:val="00F40783"/>
    <w:rsid w:val="00F409E3"/>
    <w:rsid w:val="00F40A23"/>
    <w:rsid w:val="00F40BD0"/>
    <w:rsid w:val="00F41339"/>
    <w:rsid w:val="00F41895"/>
    <w:rsid w:val="00F41AAC"/>
    <w:rsid w:val="00F41FEC"/>
    <w:rsid w:val="00F4238C"/>
    <w:rsid w:val="00F42724"/>
    <w:rsid w:val="00F4275A"/>
    <w:rsid w:val="00F42849"/>
    <w:rsid w:val="00F429A4"/>
    <w:rsid w:val="00F42D3B"/>
    <w:rsid w:val="00F432AC"/>
    <w:rsid w:val="00F43516"/>
    <w:rsid w:val="00F43A67"/>
    <w:rsid w:val="00F43AC2"/>
    <w:rsid w:val="00F43E4F"/>
    <w:rsid w:val="00F443D5"/>
    <w:rsid w:val="00F444C6"/>
    <w:rsid w:val="00F44E5D"/>
    <w:rsid w:val="00F4506A"/>
    <w:rsid w:val="00F451A0"/>
    <w:rsid w:val="00F45203"/>
    <w:rsid w:val="00F4533D"/>
    <w:rsid w:val="00F4589A"/>
    <w:rsid w:val="00F45979"/>
    <w:rsid w:val="00F46246"/>
    <w:rsid w:val="00F46482"/>
    <w:rsid w:val="00F4681A"/>
    <w:rsid w:val="00F46C23"/>
    <w:rsid w:val="00F46D36"/>
    <w:rsid w:val="00F46E38"/>
    <w:rsid w:val="00F4745A"/>
    <w:rsid w:val="00F47662"/>
    <w:rsid w:val="00F47807"/>
    <w:rsid w:val="00F4782B"/>
    <w:rsid w:val="00F50288"/>
    <w:rsid w:val="00F5034B"/>
    <w:rsid w:val="00F504B2"/>
    <w:rsid w:val="00F5074F"/>
    <w:rsid w:val="00F50C49"/>
    <w:rsid w:val="00F50D79"/>
    <w:rsid w:val="00F50E8A"/>
    <w:rsid w:val="00F50F6C"/>
    <w:rsid w:val="00F510FE"/>
    <w:rsid w:val="00F516BA"/>
    <w:rsid w:val="00F51BA9"/>
    <w:rsid w:val="00F51E61"/>
    <w:rsid w:val="00F520D8"/>
    <w:rsid w:val="00F52585"/>
    <w:rsid w:val="00F52DA0"/>
    <w:rsid w:val="00F5313E"/>
    <w:rsid w:val="00F53215"/>
    <w:rsid w:val="00F53BFA"/>
    <w:rsid w:val="00F5434E"/>
    <w:rsid w:val="00F5435B"/>
    <w:rsid w:val="00F5446F"/>
    <w:rsid w:val="00F54638"/>
    <w:rsid w:val="00F54789"/>
    <w:rsid w:val="00F54EC3"/>
    <w:rsid w:val="00F54EC5"/>
    <w:rsid w:val="00F5518E"/>
    <w:rsid w:val="00F55250"/>
    <w:rsid w:val="00F55841"/>
    <w:rsid w:val="00F55A87"/>
    <w:rsid w:val="00F56159"/>
    <w:rsid w:val="00F56298"/>
    <w:rsid w:val="00F56436"/>
    <w:rsid w:val="00F56BD1"/>
    <w:rsid w:val="00F56C1A"/>
    <w:rsid w:val="00F56C71"/>
    <w:rsid w:val="00F56F28"/>
    <w:rsid w:val="00F56F51"/>
    <w:rsid w:val="00F56FC1"/>
    <w:rsid w:val="00F5740F"/>
    <w:rsid w:val="00F574A6"/>
    <w:rsid w:val="00F57858"/>
    <w:rsid w:val="00F601A8"/>
    <w:rsid w:val="00F602DB"/>
    <w:rsid w:val="00F602FA"/>
    <w:rsid w:val="00F604A3"/>
    <w:rsid w:val="00F605CE"/>
    <w:rsid w:val="00F6090C"/>
    <w:rsid w:val="00F60AB9"/>
    <w:rsid w:val="00F60BF6"/>
    <w:rsid w:val="00F60E4F"/>
    <w:rsid w:val="00F60F5A"/>
    <w:rsid w:val="00F61394"/>
    <w:rsid w:val="00F61D31"/>
    <w:rsid w:val="00F61F26"/>
    <w:rsid w:val="00F620BA"/>
    <w:rsid w:val="00F621A3"/>
    <w:rsid w:val="00F622CE"/>
    <w:rsid w:val="00F62586"/>
    <w:rsid w:val="00F62814"/>
    <w:rsid w:val="00F638FC"/>
    <w:rsid w:val="00F63B78"/>
    <w:rsid w:val="00F63B9C"/>
    <w:rsid w:val="00F64043"/>
    <w:rsid w:val="00F641E6"/>
    <w:rsid w:val="00F64420"/>
    <w:rsid w:val="00F64768"/>
    <w:rsid w:val="00F6487E"/>
    <w:rsid w:val="00F64999"/>
    <w:rsid w:val="00F64B13"/>
    <w:rsid w:val="00F64D27"/>
    <w:rsid w:val="00F64FF4"/>
    <w:rsid w:val="00F666A5"/>
    <w:rsid w:val="00F6699E"/>
    <w:rsid w:val="00F66C88"/>
    <w:rsid w:val="00F66CC8"/>
    <w:rsid w:val="00F67173"/>
    <w:rsid w:val="00F671FD"/>
    <w:rsid w:val="00F67410"/>
    <w:rsid w:val="00F6741E"/>
    <w:rsid w:val="00F67628"/>
    <w:rsid w:val="00F676F2"/>
    <w:rsid w:val="00F678D3"/>
    <w:rsid w:val="00F67B02"/>
    <w:rsid w:val="00F67B92"/>
    <w:rsid w:val="00F67CEC"/>
    <w:rsid w:val="00F702C3"/>
    <w:rsid w:val="00F704BA"/>
    <w:rsid w:val="00F709C3"/>
    <w:rsid w:val="00F70B1E"/>
    <w:rsid w:val="00F71117"/>
    <w:rsid w:val="00F7127C"/>
    <w:rsid w:val="00F712C7"/>
    <w:rsid w:val="00F71820"/>
    <w:rsid w:val="00F718B7"/>
    <w:rsid w:val="00F71D1B"/>
    <w:rsid w:val="00F71D69"/>
    <w:rsid w:val="00F72253"/>
    <w:rsid w:val="00F72970"/>
    <w:rsid w:val="00F72C53"/>
    <w:rsid w:val="00F72CDC"/>
    <w:rsid w:val="00F73486"/>
    <w:rsid w:val="00F73795"/>
    <w:rsid w:val="00F73AF7"/>
    <w:rsid w:val="00F73C4F"/>
    <w:rsid w:val="00F73D09"/>
    <w:rsid w:val="00F73D1D"/>
    <w:rsid w:val="00F74098"/>
    <w:rsid w:val="00F74336"/>
    <w:rsid w:val="00F749C3"/>
    <w:rsid w:val="00F74AF1"/>
    <w:rsid w:val="00F74CD5"/>
    <w:rsid w:val="00F753A1"/>
    <w:rsid w:val="00F757F3"/>
    <w:rsid w:val="00F758A6"/>
    <w:rsid w:val="00F758AE"/>
    <w:rsid w:val="00F758BB"/>
    <w:rsid w:val="00F759EE"/>
    <w:rsid w:val="00F75D19"/>
    <w:rsid w:val="00F762C3"/>
    <w:rsid w:val="00F76435"/>
    <w:rsid w:val="00F764BD"/>
    <w:rsid w:val="00F767F5"/>
    <w:rsid w:val="00F769AB"/>
    <w:rsid w:val="00F76A47"/>
    <w:rsid w:val="00F76AFA"/>
    <w:rsid w:val="00F76C02"/>
    <w:rsid w:val="00F770BF"/>
    <w:rsid w:val="00F7718C"/>
    <w:rsid w:val="00F77400"/>
    <w:rsid w:val="00F77840"/>
    <w:rsid w:val="00F77B6C"/>
    <w:rsid w:val="00F77DE7"/>
    <w:rsid w:val="00F80799"/>
    <w:rsid w:val="00F80871"/>
    <w:rsid w:val="00F80B93"/>
    <w:rsid w:val="00F81051"/>
    <w:rsid w:val="00F81365"/>
    <w:rsid w:val="00F81FFA"/>
    <w:rsid w:val="00F82186"/>
    <w:rsid w:val="00F8223F"/>
    <w:rsid w:val="00F8230F"/>
    <w:rsid w:val="00F82475"/>
    <w:rsid w:val="00F8266E"/>
    <w:rsid w:val="00F826DB"/>
    <w:rsid w:val="00F82E36"/>
    <w:rsid w:val="00F82FFA"/>
    <w:rsid w:val="00F8338F"/>
    <w:rsid w:val="00F835BF"/>
    <w:rsid w:val="00F83D3F"/>
    <w:rsid w:val="00F84058"/>
    <w:rsid w:val="00F843D6"/>
    <w:rsid w:val="00F84442"/>
    <w:rsid w:val="00F85CD6"/>
    <w:rsid w:val="00F85E0A"/>
    <w:rsid w:val="00F85FED"/>
    <w:rsid w:val="00F85FF7"/>
    <w:rsid w:val="00F860DB"/>
    <w:rsid w:val="00F86437"/>
    <w:rsid w:val="00F867DC"/>
    <w:rsid w:val="00F86859"/>
    <w:rsid w:val="00F87266"/>
    <w:rsid w:val="00F87353"/>
    <w:rsid w:val="00F87441"/>
    <w:rsid w:val="00F8761C"/>
    <w:rsid w:val="00F87C84"/>
    <w:rsid w:val="00F87EC7"/>
    <w:rsid w:val="00F90390"/>
    <w:rsid w:val="00F9067D"/>
    <w:rsid w:val="00F908A7"/>
    <w:rsid w:val="00F90935"/>
    <w:rsid w:val="00F90DC8"/>
    <w:rsid w:val="00F90E39"/>
    <w:rsid w:val="00F919AA"/>
    <w:rsid w:val="00F91F09"/>
    <w:rsid w:val="00F92ABE"/>
    <w:rsid w:val="00F93230"/>
    <w:rsid w:val="00F93476"/>
    <w:rsid w:val="00F93F31"/>
    <w:rsid w:val="00F940B0"/>
    <w:rsid w:val="00F9419F"/>
    <w:rsid w:val="00F9421D"/>
    <w:rsid w:val="00F94710"/>
    <w:rsid w:val="00F94A06"/>
    <w:rsid w:val="00F94A76"/>
    <w:rsid w:val="00F94F1D"/>
    <w:rsid w:val="00F95297"/>
    <w:rsid w:val="00F95413"/>
    <w:rsid w:val="00F95693"/>
    <w:rsid w:val="00F95728"/>
    <w:rsid w:val="00F95FC0"/>
    <w:rsid w:val="00F967CC"/>
    <w:rsid w:val="00F96963"/>
    <w:rsid w:val="00F96B14"/>
    <w:rsid w:val="00F96CF7"/>
    <w:rsid w:val="00F96E15"/>
    <w:rsid w:val="00F96F73"/>
    <w:rsid w:val="00F96F74"/>
    <w:rsid w:val="00F970DD"/>
    <w:rsid w:val="00F97823"/>
    <w:rsid w:val="00F97BA8"/>
    <w:rsid w:val="00FA01C9"/>
    <w:rsid w:val="00FA0350"/>
    <w:rsid w:val="00FA052E"/>
    <w:rsid w:val="00FA090B"/>
    <w:rsid w:val="00FA0D66"/>
    <w:rsid w:val="00FA0F67"/>
    <w:rsid w:val="00FA147E"/>
    <w:rsid w:val="00FA158F"/>
    <w:rsid w:val="00FA1803"/>
    <w:rsid w:val="00FA1834"/>
    <w:rsid w:val="00FA1BDF"/>
    <w:rsid w:val="00FA2AE0"/>
    <w:rsid w:val="00FA2C06"/>
    <w:rsid w:val="00FA2FD5"/>
    <w:rsid w:val="00FA306E"/>
    <w:rsid w:val="00FA34E6"/>
    <w:rsid w:val="00FA3886"/>
    <w:rsid w:val="00FA38AC"/>
    <w:rsid w:val="00FA3AF9"/>
    <w:rsid w:val="00FA3CD3"/>
    <w:rsid w:val="00FA3CE2"/>
    <w:rsid w:val="00FA41DC"/>
    <w:rsid w:val="00FA4FE5"/>
    <w:rsid w:val="00FA5488"/>
    <w:rsid w:val="00FA5866"/>
    <w:rsid w:val="00FA58D8"/>
    <w:rsid w:val="00FA5AC8"/>
    <w:rsid w:val="00FA5C09"/>
    <w:rsid w:val="00FA633E"/>
    <w:rsid w:val="00FA66F7"/>
    <w:rsid w:val="00FA6B7B"/>
    <w:rsid w:val="00FA72AD"/>
    <w:rsid w:val="00FA7685"/>
    <w:rsid w:val="00FA79F7"/>
    <w:rsid w:val="00FA7C4E"/>
    <w:rsid w:val="00FA7D48"/>
    <w:rsid w:val="00FB03CD"/>
    <w:rsid w:val="00FB04B7"/>
    <w:rsid w:val="00FB053C"/>
    <w:rsid w:val="00FB086B"/>
    <w:rsid w:val="00FB1314"/>
    <w:rsid w:val="00FB1376"/>
    <w:rsid w:val="00FB1413"/>
    <w:rsid w:val="00FB15DF"/>
    <w:rsid w:val="00FB176A"/>
    <w:rsid w:val="00FB22B3"/>
    <w:rsid w:val="00FB2981"/>
    <w:rsid w:val="00FB3317"/>
    <w:rsid w:val="00FB36B0"/>
    <w:rsid w:val="00FB3810"/>
    <w:rsid w:val="00FB386D"/>
    <w:rsid w:val="00FB389A"/>
    <w:rsid w:val="00FB39C8"/>
    <w:rsid w:val="00FB3A85"/>
    <w:rsid w:val="00FB3C52"/>
    <w:rsid w:val="00FB3DE2"/>
    <w:rsid w:val="00FB3F49"/>
    <w:rsid w:val="00FB4171"/>
    <w:rsid w:val="00FB4783"/>
    <w:rsid w:val="00FB4AB4"/>
    <w:rsid w:val="00FB4E51"/>
    <w:rsid w:val="00FB553C"/>
    <w:rsid w:val="00FB57F2"/>
    <w:rsid w:val="00FB5C4B"/>
    <w:rsid w:val="00FB60E2"/>
    <w:rsid w:val="00FB61E2"/>
    <w:rsid w:val="00FB63AF"/>
    <w:rsid w:val="00FB665D"/>
    <w:rsid w:val="00FB6714"/>
    <w:rsid w:val="00FB6B0F"/>
    <w:rsid w:val="00FB6BBD"/>
    <w:rsid w:val="00FB6EC2"/>
    <w:rsid w:val="00FB6EE5"/>
    <w:rsid w:val="00FB75B3"/>
    <w:rsid w:val="00FC0661"/>
    <w:rsid w:val="00FC0970"/>
    <w:rsid w:val="00FC0DE9"/>
    <w:rsid w:val="00FC0EF2"/>
    <w:rsid w:val="00FC19FC"/>
    <w:rsid w:val="00FC1D1C"/>
    <w:rsid w:val="00FC1EF4"/>
    <w:rsid w:val="00FC219D"/>
    <w:rsid w:val="00FC271C"/>
    <w:rsid w:val="00FC2739"/>
    <w:rsid w:val="00FC29DC"/>
    <w:rsid w:val="00FC3067"/>
    <w:rsid w:val="00FC3299"/>
    <w:rsid w:val="00FC32CC"/>
    <w:rsid w:val="00FC36CC"/>
    <w:rsid w:val="00FC451B"/>
    <w:rsid w:val="00FC4568"/>
    <w:rsid w:val="00FC46D9"/>
    <w:rsid w:val="00FC47DC"/>
    <w:rsid w:val="00FC4D81"/>
    <w:rsid w:val="00FC4EDD"/>
    <w:rsid w:val="00FC4F00"/>
    <w:rsid w:val="00FC504E"/>
    <w:rsid w:val="00FC5684"/>
    <w:rsid w:val="00FC577D"/>
    <w:rsid w:val="00FC5908"/>
    <w:rsid w:val="00FC5AAA"/>
    <w:rsid w:val="00FC6025"/>
    <w:rsid w:val="00FC6D0C"/>
    <w:rsid w:val="00FC6E30"/>
    <w:rsid w:val="00FC6F4A"/>
    <w:rsid w:val="00FC70D8"/>
    <w:rsid w:val="00FC7423"/>
    <w:rsid w:val="00FC79C9"/>
    <w:rsid w:val="00FD0058"/>
    <w:rsid w:val="00FD053A"/>
    <w:rsid w:val="00FD0931"/>
    <w:rsid w:val="00FD1E33"/>
    <w:rsid w:val="00FD1EEB"/>
    <w:rsid w:val="00FD212C"/>
    <w:rsid w:val="00FD264B"/>
    <w:rsid w:val="00FD347E"/>
    <w:rsid w:val="00FD381E"/>
    <w:rsid w:val="00FD387D"/>
    <w:rsid w:val="00FD38D5"/>
    <w:rsid w:val="00FD3ABA"/>
    <w:rsid w:val="00FD3CD2"/>
    <w:rsid w:val="00FD3ECF"/>
    <w:rsid w:val="00FD4062"/>
    <w:rsid w:val="00FD4592"/>
    <w:rsid w:val="00FD4810"/>
    <w:rsid w:val="00FD4DBE"/>
    <w:rsid w:val="00FD4F29"/>
    <w:rsid w:val="00FD5A0E"/>
    <w:rsid w:val="00FD631B"/>
    <w:rsid w:val="00FD6683"/>
    <w:rsid w:val="00FD66B8"/>
    <w:rsid w:val="00FD6B23"/>
    <w:rsid w:val="00FD6BF2"/>
    <w:rsid w:val="00FD71E5"/>
    <w:rsid w:val="00FD72F7"/>
    <w:rsid w:val="00FD7632"/>
    <w:rsid w:val="00FD79ED"/>
    <w:rsid w:val="00FD7BAA"/>
    <w:rsid w:val="00FD7EFE"/>
    <w:rsid w:val="00FE0031"/>
    <w:rsid w:val="00FE019C"/>
    <w:rsid w:val="00FE04E4"/>
    <w:rsid w:val="00FE0734"/>
    <w:rsid w:val="00FE07AA"/>
    <w:rsid w:val="00FE0B3A"/>
    <w:rsid w:val="00FE0FCD"/>
    <w:rsid w:val="00FE10FE"/>
    <w:rsid w:val="00FE1973"/>
    <w:rsid w:val="00FE1B0B"/>
    <w:rsid w:val="00FE1B14"/>
    <w:rsid w:val="00FE1D8A"/>
    <w:rsid w:val="00FE1E5A"/>
    <w:rsid w:val="00FE1EDB"/>
    <w:rsid w:val="00FE2271"/>
    <w:rsid w:val="00FE2305"/>
    <w:rsid w:val="00FE23D1"/>
    <w:rsid w:val="00FE2602"/>
    <w:rsid w:val="00FE2703"/>
    <w:rsid w:val="00FE2E0A"/>
    <w:rsid w:val="00FE3005"/>
    <w:rsid w:val="00FE3563"/>
    <w:rsid w:val="00FE37CE"/>
    <w:rsid w:val="00FE388C"/>
    <w:rsid w:val="00FE3F0C"/>
    <w:rsid w:val="00FE40D2"/>
    <w:rsid w:val="00FE4158"/>
    <w:rsid w:val="00FE41AF"/>
    <w:rsid w:val="00FE4207"/>
    <w:rsid w:val="00FE423A"/>
    <w:rsid w:val="00FE4476"/>
    <w:rsid w:val="00FE4583"/>
    <w:rsid w:val="00FE4D54"/>
    <w:rsid w:val="00FE5170"/>
    <w:rsid w:val="00FE569B"/>
    <w:rsid w:val="00FE5A33"/>
    <w:rsid w:val="00FE5D53"/>
    <w:rsid w:val="00FE60B2"/>
    <w:rsid w:val="00FE6F71"/>
    <w:rsid w:val="00FE70AA"/>
    <w:rsid w:val="00FE70DC"/>
    <w:rsid w:val="00FE7367"/>
    <w:rsid w:val="00FE738D"/>
    <w:rsid w:val="00FE7443"/>
    <w:rsid w:val="00FE79D2"/>
    <w:rsid w:val="00FE7F4F"/>
    <w:rsid w:val="00FF0666"/>
    <w:rsid w:val="00FF07CB"/>
    <w:rsid w:val="00FF0893"/>
    <w:rsid w:val="00FF0903"/>
    <w:rsid w:val="00FF0997"/>
    <w:rsid w:val="00FF0F6A"/>
    <w:rsid w:val="00FF0F89"/>
    <w:rsid w:val="00FF0FD8"/>
    <w:rsid w:val="00FF125C"/>
    <w:rsid w:val="00FF1634"/>
    <w:rsid w:val="00FF17C8"/>
    <w:rsid w:val="00FF1CB3"/>
    <w:rsid w:val="00FF24C3"/>
    <w:rsid w:val="00FF2607"/>
    <w:rsid w:val="00FF2AD2"/>
    <w:rsid w:val="00FF3092"/>
    <w:rsid w:val="00FF3BB0"/>
    <w:rsid w:val="00FF4EDC"/>
    <w:rsid w:val="00FF5497"/>
    <w:rsid w:val="00FF5754"/>
    <w:rsid w:val="00FF57EC"/>
    <w:rsid w:val="00FF580E"/>
    <w:rsid w:val="00FF5920"/>
    <w:rsid w:val="00FF6231"/>
    <w:rsid w:val="00FF668B"/>
    <w:rsid w:val="00FF696D"/>
    <w:rsid w:val="00FF6A7D"/>
    <w:rsid w:val="00FF6B2D"/>
    <w:rsid w:val="00FF6C0B"/>
    <w:rsid w:val="00FF6CB3"/>
    <w:rsid w:val="00FF6D3E"/>
    <w:rsid w:val="00FF719D"/>
    <w:rsid w:val="00FF7667"/>
    <w:rsid w:val="00FF76C5"/>
    <w:rsid w:val="00FF78AE"/>
    <w:rsid w:val="01332EEA"/>
    <w:rsid w:val="0192A5B4"/>
    <w:rsid w:val="01AB273C"/>
    <w:rsid w:val="01E3F389"/>
    <w:rsid w:val="01FAEBF4"/>
    <w:rsid w:val="02E55336"/>
    <w:rsid w:val="02F132C7"/>
    <w:rsid w:val="03137335"/>
    <w:rsid w:val="03581B46"/>
    <w:rsid w:val="03FF025D"/>
    <w:rsid w:val="053FF491"/>
    <w:rsid w:val="05A21B8E"/>
    <w:rsid w:val="0649F079"/>
    <w:rsid w:val="06DA2CC0"/>
    <w:rsid w:val="06DE5C08"/>
    <w:rsid w:val="075C9412"/>
    <w:rsid w:val="0783A10C"/>
    <w:rsid w:val="084C28B1"/>
    <w:rsid w:val="08641C85"/>
    <w:rsid w:val="08F559A0"/>
    <w:rsid w:val="0918626A"/>
    <w:rsid w:val="0980B69A"/>
    <w:rsid w:val="09E48005"/>
    <w:rsid w:val="0AC24D50"/>
    <w:rsid w:val="0AD8DA66"/>
    <w:rsid w:val="0B380886"/>
    <w:rsid w:val="0B6CAE54"/>
    <w:rsid w:val="0BACA1FA"/>
    <w:rsid w:val="0BBB8E12"/>
    <w:rsid w:val="0C47964B"/>
    <w:rsid w:val="0C67E319"/>
    <w:rsid w:val="0CFCED4F"/>
    <w:rsid w:val="0D957049"/>
    <w:rsid w:val="0E322EBF"/>
    <w:rsid w:val="0ECE28C2"/>
    <w:rsid w:val="0EDEE7FA"/>
    <w:rsid w:val="0EF4872A"/>
    <w:rsid w:val="0F7825F8"/>
    <w:rsid w:val="0FDF2106"/>
    <w:rsid w:val="109AF4BB"/>
    <w:rsid w:val="10A9FC93"/>
    <w:rsid w:val="10C6747D"/>
    <w:rsid w:val="110580F1"/>
    <w:rsid w:val="11EC14F2"/>
    <w:rsid w:val="12141164"/>
    <w:rsid w:val="127394B7"/>
    <w:rsid w:val="12978DD5"/>
    <w:rsid w:val="12AAA681"/>
    <w:rsid w:val="1326AF5C"/>
    <w:rsid w:val="1387F5C0"/>
    <w:rsid w:val="14118969"/>
    <w:rsid w:val="144095EC"/>
    <w:rsid w:val="149F1CF7"/>
    <w:rsid w:val="14D4AF7B"/>
    <w:rsid w:val="14F5C205"/>
    <w:rsid w:val="159B795A"/>
    <w:rsid w:val="1685F609"/>
    <w:rsid w:val="17318816"/>
    <w:rsid w:val="174CB2A8"/>
    <w:rsid w:val="17554C74"/>
    <w:rsid w:val="1832ACA8"/>
    <w:rsid w:val="1832D18A"/>
    <w:rsid w:val="1858789B"/>
    <w:rsid w:val="18D4C471"/>
    <w:rsid w:val="1976D7F2"/>
    <w:rsid w:val="1A065B69"/>
    <w:rsid w:val="1A0AF612"/>
    <w:rsid w:val="1A8BE3A7"/>
    <w:rsid w:val="1AC91A83"/>
    <w:rsid w:val="1B28DF47"/>
    <w:rsid w:val="1B3346FD"/>
    <w:rsid w:val="1B359C6A"/>
    <w:rsid w:val="1BA8EA60"/>
    <w:rsid w:val="1C0B52FC"/>
    <w:rsid w:val="1C368AA0"/>
    <w:rsid w:val="1C4C40E0"/>
    <w:rsid w:val="1C6A21A4"/>
    <w:rsid w:val="1C8FB795"/>
    <w:rsid w:val="1D4C2F8D"/>
    <w:rsid w:val="1D56F7D1"/>
    <w:rsid w:val="1D9D35BA"/>
    <w:rsid w:val="1E37B264"/>
    <w:rsid w:val="1E3E3609"/>
    <w:rsid w:val="1E41FE88"/>
    <w:rsid w:val="1EA65492"/>
    <w:rsid w:val="1EC470DC"/>
    <w:rsid w:val="1EE1850D"/>
    <w:rsid w:val="1FF717CB"/>
    <w:rsid w:val="2012C134"/>
    <w:rsid w:val="201D37F4"/>
    <w:rsid w:val="2058FADF"/>
    <w:rsid w:val="208A8CEC"/>
    <w:rsid w:val="209C1323"/>
    <w:rsid w:val="2111DC97"/>
    <w:rsid w:val="21957A26"/>
    <w:rsid w:val="22304F3F"/>
    <w:rsid w:val="2257971B"/>
    <w:rsid w:val="22991A5A"/>
    <w:rsid w:val="22DA7AFA"/>
    <w:rsid w:val="22F27153"/>
    <w:rsid w:val="23909BA1"/>
    <w:rsid w:val="23BEE3EE"/>
    <w:rsid w:val="23C02273"/>
    <w:rsid w:val="240D7FD3"/>
    <w:rsid w:val="246D2465"/>
    <w:rsid w:val="24783598"/>
    <w:rsid w:val="24C89B11"/>
    <w:rsid w:val="2618118A"/>
    <w:rsid w:val="271C23F7"/>
    <w:rsid w:val="2760E99C"/>
    <w:rsid w:val="27C1CC25"/>
    <w:rsid w:val="285CCFD2"/>
    <w:rsid w:val="28744A01"/>
    <w:rsid w:val="28C6A3BD"/>
    <w:rsid w:val="2951B207"/>
    <w:rsid w:val="29C0FCBB"/>
    <w:rsid w:val="29C58AB0"/>
    <w:rsid w:val="2A02B305"/>
    <w:rsid w:val="2A18D9C9"/>
    <w:rsid w:val="2A24A2F7"/>
    <w:rsid w:val="2A3AA5FA"/>
    <w:rsid w:val="2A4604F7"/>
    <w:rsid w:val="2A7B37E1"/>
    <w:rsid w:val="2AA48414"/>
    <w:rsid w:val="2B127A41"/>
    <w:rsid w:val="2B2FDA0A"/>
    <w:rsid w:val="2B4E0353"/>
    <w:rsid w:val="2B7879CA"/>
    <w:rsid w:val="2BDDDB8F"/>
    <w:rsid w:val="2CCA9335"/>
    <w:rsid w:val="2D1E558A"/>
    <w:rsid w:val="2D2B78A0"/>
    <w:rsid w:val="2D4D5B6E"/>
    <w:rsid w:val="2E245883"/>
    <w:rsid w:val="2E648527"/>
    <w:rsid w:val="2EFFA806"/>
    <w:rsid w:val="2F461449"/>
    <w:rsid w:val="2F79A4EE"/>
    <w:rsid w:val="30366D42"/>
    <w:rsid w:val="30D1073E"/>
    <w:rsid w:val="30E9DE03"/>
    <w:rsid w:val="311FA443"/>
    <w:rsid w:val="316E8463"/>
    <w:rsid w:val="31CF66AE"/>
    <w:rsid w:val="320B1CFA"/>
    <w:rsid w:val="32AF5367"/>
    <w:rsid w:val="32B99967"/>
    <w:rsid w:val="332BBE5A"/>
    <w:rsid w:val="3366BF27"/>
    <w:rsid w:val="33A08EDE"/>
    <w:rsid w:val="33B6BA6E"/>
    <w:rsid w:val="33C16FC9"/>
    <w:rsid w:val="33E3AD31"/>
    <w:rsid w:val="33F57C01"/>
    <w:rsid w:val="34087B2F"/>
    <w:rsid w:val="345A2BC2"/>
    <w:rsid w:val="34AD158F"/>
    <w:rsid w:val="34D69F46"/>
    <w:rsid w:val="34F285D2"/>
    <w:rsid w:val="34F5DF40"/>
    <w:rsid w:val="35471B6D"/>
    <w:rsid w:val="3591BA3E"/>
    <w:rsid w:val="3595C0CF"/>
    <w:rsid w:val="3617DD9C"/>
    <w:rsid w:val="36DC2D6A"/>
    <w:rsid w:val="37386DC5"/>
    <w:rsid w:val="376BF447"/>
    <w:rsid w:val="3784F23A"/>
    <w:rsid w:val="380DDFFD"/>
    <w:rsid w:val="3888B7BA"/>
    <w:rsid w:val="38E8A72B"/>
    <w:rsid w:val="3A103C66"/>
    <w:rsid w:val="3A1CB3FB"/>
    <w:rsid w:val="3A728111"/>
    <w:rsid w:val="3A92360D"/>
    <w:rsid w:val="3B1816E2"/>
    <w:rsid w:val="3B1A07FC"/>
    <w:rsid w:val="3B2A1C16"/>
    <w:rsid w:val="3CCAA723"/>
    <w:rsid w:val="3CD6DB24"/>
    <w:rsid w:val="3CFFB344"/>
    <w:rsid w:val="3D2F70E3"/>
    <w:rsid w:val="3D637665"/>
    <w:rsid w:val="3E132882"/>
    <w:rsid w:val="3E540367"/>
    <w:rsid w:val="3F193845"/>
    <w:rsid w:val="3F3A5153"/>
    <w:rsid w:val="3FAB8C5E"/>
    <w:rsid w:val="3FE0FDC8"/>
    <w:rsid w:val="40015EB9"/>
    <w:rsid w:val="401C4F68"/>
    <w:rsid w:val="405D156E"/>
    <w:rsid w:val="40698818"/>
    <w:rsid w:val="40C25486"/>
    <w:rsid w:val="4122A3F6"/>
    <w:rsid w:val="4146D9DB"/>
    <w:rsid w:val="415348F6"/>
    <w:rsid w:val="41CAE17F"/>
    <w:rsid w:val="41D416B8"/>
    <w:rsid w:val="41DF9C50"/>
    <w:rsid w:val="4203C77A"/>
    <w:rsid w:val="42073DB6"/>
    <w:rsid w:val="423C750B"/>
    <w:rsid w:val="4286087B"/>
    <w:rsid w:val="43247452"/>
    <w:rsid w:val="43570D22"/>
    <w:rsid w:val="438BC8A5"/>
    <w:rsid w:val="44382B32"/>
    <w:rsid w:val="455B1089"/>
    <w:rsid w:val="47133F09"/>
    <w:rsid w:val="479285FA"/>
    <w:rsid w:val="47A97F3B"/>
    <w:rsid w:val="47DA5CEF"/>
    <w:rsid w:val="48D90D9E"/>
    <w:rsid w:val="498645C1"/>
    <w:rsid w:val="498AE846"/>
    <w:rsid w:val="4A2C2F51"/>
    <w:rsid w:val="4A3D3852"/>
    <w:rsid w:val="4A43745E"/>
    <w:rsid w:val="4A78E514"/>
    <w:rsid w:val="4A800618"/>
    <w:rsid w:val="4A88E6B0"/>
    <w:rsid w:val="4AC06297"/>
    <w:rsid w:val="4B25B67E"/>
    <w:rsid w:val="4B53782A"/>
    <w:rsid w:val="4BBB309D"/>
    <w:rsid w:val="4BC0CDDD"/>
    <w:rsid w:val="4BFA0BAD"/>
    <w:rsid w:val="4C1EED0C"/>
    <w:rsid w:val="4CBA0436"/>
    <w:rsid w:val="4E112BA1"/>
    <w:rsid w:val="4EFEEC31"/>
    <w:rsid w:val="4F6E10DC"/>
    <w:rsid w:val="4F8AED01"/>
    <w:rsid w:val="4FAA8A6D"/>
    <w:rsid w:val="4FEB1246"/>
    <w:rsid w:val="4FEDFEAC"/>
    <w:rsid w:val="5014260D"/>
    <w:rsid w:val="502F8E06"/>
    <w:rsid w:val="503792DC"/>
    <w:rsid w:val="50844BE2"/>
    <w:rsid w:val="50C20209"/>
    <w:rsid w:val="5194248E"/>
    <w:rsid w:val="51BBBCF3"/>
    <w:rsid w:val="51C584F2"/>
    <w:rsid w:val="5218A2B7"/>
    <w:rsid w:val="5219B91E"/>
    <w:rsid w:val="527E5C15"/>
    <w:rsid w:val="52B1AF9B"/>
    <w:rsid w:val="53280342"/>
    <w:rsid w:val="532C2920"/>
    <w:rsid w:val="533B8D40"/>
    <w:rsid w:val="535D7758"/>
    <w:rsid w:val="540B6903"/>
    <w:rsid w:val="549F596C"/>
    <w:rsid w:val="5501E50A"/>
    <w:rsid w:val="55945A84"/>
    <w:rsid w:val="55E00E1E"/>
    <w:rsid w:val="55E6D637"/>
    <w:rsid w:val="56BB4E59"/>
    <w:rsid w:val="56D00BE0"/>
    <w:rsid w:val="56E849A1"/>
    <w:rsid w:val="56EC8690"/>
    <w:rsid w:val="56FD4929"/>
    <w:rsid w:val="571F89D6"/>
    <w:rsid w:val="5784415C"/>
    <w:rsid w:val="57BE71FE"/>
    <w:rsid w:val="57FDDD95"/>
    <w:rsid w:val="580A3F02"/>
    <w:rsid w:val="594C14C1"/>
    <w:rsid w:val="59CC2EE5"/>
    <w:rsid w:val="59D2D1E9"/>
    <w:rsid w:val="5A621ECB"/>
    <w:rsid w:val="5A79614C"/>
    <w:rsid w:val="5AC40D94"/>
    <w:rsid w:val="5B6F089A"/>
    <w:rsid w:val="5BA77307"/>
    <w:rsid w:val="5BB30067"/>
    <w:rsid w:val="5C25DA89"/>
    <w:rsid w:val="5C5470A0"/>
    <w:rsid w:val="5CB7F40C"/>
    <w:rsid w:val="5CD4169B"/>
    <w:rsid w:val="5DB49AD2"/>
    <w:rsid w:val="5DBED084"/>
    <w:rsid w:val="5DC4D476"/>
    <w:rsid w:val="5EB6D15D"/>
    <w:rsid w:val="5EBEEED4"/>
    <w:rsid w:val="5ECAF6A3"/>
    <w:rsid w:val="5EE8AE85"/>
    <w:rsid w:val="5F645DD0"/>
    <w:rsid w:val="5F724D48"/>
    <w:rsid w:val="5FBFE932"/>
    <w:rsid w:val="5FD44414"/>
    <w:rsid w:val="5FE5E56C"/>
    <w:rsid w:val="61579803"/>
    <w:rsid w:val="62C33359"/>
    <w:rsid w:val="62C9A9E7"/>
    <w:rsid w:val="6313C1C8"/>
    <w:rsid w:val="633CEBE2"/>
    <w:rsid w:val="63C8BC0D"/>
    <w:rsid w:val="63E9AA03"/>
    <w:rsid w:val="63F34DAF"/>
    <w:rsid w:val="641D82AD"/>
    <w:rsid w:val="645F0BD9"/>
    <w:rsid w:val="656C5BF1"/>
    <w:rsid w:val="65756BFE"/>
    <w:rsid w:val="66315A99"/>
    <w:rsid w:val="6638B5B4"/>
    <w:rsid w:val="66B0572B"/>
    <w:rsid w:val="66BB6CEB"/>
    <w:rsid w:val="677853D1"/>
    <w:rsid w:val="67E9F683"/>
    <w:rsid w:val="6830295B"/>
    <w:rsid w:val="68818D88"/>
    <w:rsid w:val="68A0867E"/>
    <w:rsid w:val="68BD7BFD"/>
    <w:rsid w:val="68CE0764"/>
    <w:rsid w:val="69ACC35A"/>
    <w:rsid w:val="69E659E0"/>
    <w:rsid w:val="6A801D9D"/>
    <w:rsid w:val="6AF16BBE"/>
    <w:rsid w:val="6AF55652"/>
    <w:rsid w:val="6BB5E20E"/>
    <w:rsid w:val="6BF3DDD6"/>
    <w:rsid w:val="6C44E994"/>
    <w:rsid w:val="6C502E07"/>
    <w:rsid w:val="6C6B791F"/>
    <w:rsid w:val="6CA5769E"/>
    <w:rsid w:val="6CD1318E"/>
    <w:rsid w:val="6CFDEB00"/>
    <w:rsid w:val="6D2CE6E0"/>
    <w:rsid w:val="6DB5F0EC"/>
    <w:rsid w:val="6DF0E84A"/>
    <w:rsid w:val="6EE981CF"/>
    <w:rsid w:val="6EEE2B67"/>
    <w:rsid w:val="6F044957"/>
    <w:rsid w:val="6F8665D6"/>
    <w:rsid w:val="7024486A"/>
    <w:rsid w:val="712E8B85"/>
    <w:rsid w:val="713D44EE"/>
    <w:rsid w:val="71414856"/>
    <w:rsid w:val="71B5392A"/>
    <w:rsid w:val="71C9B048"/>
    <w:rsid w:val="71E78C17"/>
    <w:rsid w:val="720C1212"/>
    <w:rsid w:val="72142731"/>
    <w:rsid w:val="7233FFF6"/>
    <w:rsid w:val="723EF316"/>
    <w:rsid w:val="729CE6ED"/>
    <w:rsid w:val="72B13C98"/>
    <w:rsid w:val="736CD932"/>
    <w:rsid w:val="73998322"/>
    <w:rsid w:val="74035D07"/>
    <w:rsid w:val="74543685"/>
    <w:rsid w:val="74716C32"/>
    <w:rsid w:val="747A4061"/>
    <w:rsid w:val="74CB1703"/>
    <w:rsid w:val="74D2BA3F"/>
    <w:rsid w:val="74D43105"/>
    <w:rsid w:val="7523B852"/>
    <w:rsid w:val="753DDC19"/>
    <w:rsid w:val="755B7001"/>
    <w:rsid w:val="75D0C2D9"/>
    <w:rsid w:val="75EF451C"/>
    <w:rsid w:val="7626DB2E"/>
    <w:rsid w:val="766E3DEE"/>
    <w:rsid w:val="76A2D7B7"/>
    <w:rsid w:val="77023E84"/>
    <w:rsid w:val="7705F2B1"/>
    <w:rsid w:val="77D7B04A"/>
    <w:rsid w:val="77EFE06F"/>
    <w:rsid w:val="7815740C"/>
    <w:rsid w:val="78A3C993"/>
    <w:rsid w:val="78AAB161"/>
    <w:rsid w:val="7911FC7E"/>
    <w:rsid w:val="792BA3CA"/>
    <w:rsid w:val="79878A9F"/>
    <w:rsid w:val="7A18A4BD"/>
    <w:rsid w:val="7AEB6153"/>
    <w:rsid w:val="7B181F67"/>
    <w:rsid w:val="7B5CBDD0"/>
    <w:rsid w:val="7B77792D"/>
    <w:rsid w:val="7C527A78"/>
    <w:rsid w:val="7C80E43C"/>
    <w:rsid w:val="7CE16FD7"/>
    <w:rsid w:val="7D8B82F6"/>
    <w:rsid w:val="7DC84EE5"/>
    <w:rsid w:val="7E4E2F92"/>
    <w:rsid w:val="7E54E696"/>
    <w:rsid w:val="7E752BDF"/>
    <w:rsid w:val="7E93419D"/>
    <w:rsid w:val="7EB80190"/>
    <w:rsid w:val="7EE3D6CE"/>
    <w:rsid w:val="7F83DB93"/>
    <w:rsid w:val="7F8BD2E0"/>
    <w:rsid w:val="7FA1C9EE"/>
    <w:rsid w:val="7FDF24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A1D55E"/>
  <w14:defaultImageDpi w14:val="32767"/>
  <w15:chartTrackingRefBased/>
  <w15:docId w15:val="{976E5E2F-C1CA-49D0-B4C2-ABB07CC1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68C9"/>
    <w:rPr>
      <w:rFonts w:ascii="Arial" w:eastAsia="Calibri" w:hAnsi="Arial" w:cs="Calibri"/>
      <w:lang w:val="en-AU" w:eastAsia="en-GB"/>
    </w:rPr>
  </w:style>
  <w:style w:type="paragraph" w:styleId="Heading1">
    <w:name w:val="heading 1"/>
    <w:basedOn w:val="Normal"/>
    <w:next w:val="Normal"/>
    <w:link w:val="Heading1Char"/>
    <w:uiPriority w:val="9"/>
    <w:qFormat/>
    <w:rsid w:val="0022181C"/>
    <w:pPr>
      <w:keepNext/>
      <w:keepLines/>
      <w:numPr>
        <w:numId w:val="21"/>
      </w:numPr>
      <w:spacing w:after="120"/>
      <w:jc w:val="both"/>
      <w:outlineLvl w:val="0"/>
    </w:pPr>
    <w:rPr>
      <w:rFonts w:eastAsiaTheme="majorEastAsia" w:cs="Arial"/>
      <w:b/>
      <w:bCs/>
      <w:color w:val="000000" w:themeColor="text1"/>
      <w:sz w:val="30"/>
      <w:szCs w:val="30"/>
    </w:rPr>
  </w:style>
  <w:style w:type="paragraph" w:styleId="Heading2">
    <w:name w:val="heading 2"/>
    <w:basedOn w:val="Normal"/>
    <w:next w:val="Normal"/>
    <w:link w:val="Heading2Char"/>
    <w:uiPriority w:val="9"/>
    <w:unhideWhenUsed/>
    <w:qFormat/>
    <w:rsid w:val="00590D6F"/>
    <w:pPr>
      <w:keepNext/>
      <w:keepLines/>
      <w:spacing w:after="60"/>
      <w:jc w:val="both"/>
      <w:outlineLvl w:val="1"/>
    </w:pPr>
    <w:rPr>
      <w:rFonts w:asciiTheme="minorHAnsi" w:eastAsiaTheme="majorEastAsia" w:hAnsiTheme="minorHAnsi" w:cstheme="minorHAnsi"/>
      <w:b/>
      <w:bCs/>
      <w:color w:val="000000" w:themeColor="text1"/>
      <w:sz w:val="22"/>
      <w:szCs w:val="22"/>
    </w:rPr>
  </w:style>
  <w:style w:type="paragraph" w:styleId="Heading3">
    <w:name w:val="heading 3"/>
    <w:basedOn w:val="Normal"/>
    <w:next w:val="Normal"/>
    <w:link w:val="Heading3Char"/>
    <w:uiPriority w:val="9"/>
    <w:unhideWhenUsed/>
    <w:qFormat/>
    <w:rsid w:val="006A1F8C"/>
    <w:pPr>
      <w:keepNext/>
      <w:keepLines/>
      <w:numPr>
        <w:ilvl w:val="2"/>
        <w:numId w:val="3"/>
      </w:numPr>
      <w:jc w:val="both"/>
      <w:outlineLvl w:val="2"/>
    </w:pPr>
    <w:rPr>
      <w:rFonts w:asciiTheme="minorHAnsi" w:eastAsiaTheme="majorEastAsia" w:hAnsiTheme="minorHAnsi" w:cstheme="minorHAnsi"/>
      <w:b/>
      <w:bCs/>
      <w:color w:val="000000" w:themeColor="text1"/>
      <w:sz w:val="22"/>
      <w:szCs w:val="22"/>
    </w:rPr>
  </w:style>
  <w:style w:type="paragraph" w:styleId="Heading4">
    <w:name w:val="heading 4"/>
    <w:basedOn w:val="Normal"/>
    <w:next w:val="Normal"/>
    <w:link w:val="Heading4Char"/>
    <w:uiPriority w:val="9"/>
    <w:semiHidden/>
    <w:unhideWhenUsed/>
    <w:qFormat/>
    <w:rsid w:val="00360F0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0F0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60F0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0F0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60F0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F0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087943"/>
    <w:rPr>
      <w:sz w:val="16"/>
      <w:szCs w:val="16"/>
    </w:rPr>
  </w:style>
  <w:style w:type="paragraph" w:styleId="CommentText">
    <w:name w:val="annotation text"/>
    <w:basedOn w:val="Normal"/>
    <w:link w:val="CommentTextChar"/>
    <w:uiPriority w:val="99"/>
    <w:unhideWhenUsed/>
    <w:rsid w:val="00087943"/>
    <w:rPr>
      <w:sz w:val="20"/>
      <w:szCs w:val="20"/>
    </w:rPr>
  </w:style>
  <w:style w:type="character" w:customStyle="1" w:styleId="CommentTextChar">
    <w:name w:val="Comment Text Char"/>
    <w:basedOn w:val="DefaultParagraphFont"/>
    <w:link w:val="CommentText"/>
    <w:uiPriority w:val="99"/>
    <w:rsid w:val="00087943"/>
    <w:rPr>
      <w:rFonts w:ascii="Calibri" w:eastAsia="Calibri" w:hAnsi="Calibri" w:cs="Calibri"/>
      <w:sz w:val="20"/>
      <w:szCs w:val="20"/>
      <w:lang w:eastAsia="en-GB"/>
    </w:rPr>
  </w:style>
  <w:style w:type="paragraph" w:customStyle="1" w:styleId="1Dot-point">
    <w:name w:val="1 Dot-point"/>
    <w:basedOn w:val="Dotpointinfo"/>
    <w:link w:val="1Dot-pointChar"/>
    <w:qFormat/>
    <w:rsid w:val="0026310A"/>
  </w:style>
  <w:style w:type="numbering" w:customStyle="1" w:styleId="Dot-point">
    <w:name w:val="Dot-point"/>
    <w:uiPriority w:val="99"/>
    <w:rsid w:val="006D4737"/>
    <w:pPr>
      <w:numPr>
        <w:numId w:val="1"/>
      </w:numPr>
    </w:pPr>
  </w:style>
  <w:style w:type="paragraph" w:customStyle="1" w:styleId="2Dot-point">
    <w:name w:val="2 Dot-point"/>
    <w:basedOn w:val="1Dot-point"/>
    <w:qFormat/>
    <w:rsid w:val="006D4737"/>
    <w:pPr>
      <w:numPr>
        <w:ilvl w:val="1"/>
      </w:numPr>
      <w:tabs>
        <w:tab w:val="num" w:pos="360"/>
      </w:tabs>
    </w:pPr>
  </w:style>
  <w:style w:type="character" w:customStyle="1" w:styleId="1Dot-pointChar">
    <w:name w:val="1 Dot-point Char"/>
    <w:basedOn w:val="BodyTextChar"/>
    <w:link w:val="1Dot-point"/>
    <w:rsid w:val="0026310A"/>
    <w:rPr>
      <w:rFonts w:ascii="Arial" w:eastAsia="Times New Roman" w:hAnsi="Arial" w:cs="Calibri"/>
      <w:color w:val="000000"/>
      <w:sz w:val="22"/>
      <w:szCs w:val="21"/>
      <w:shd w:val="clear" w:color="auto" w:fill="FFFFFF"/>
      <w:lang w:val="en-NZ" w:eastAsia="en-NZ"/>
    </w:rPr>
  </w:style>
  <w:style w:type="paragraph" w:styleId="BodyText">
    <w:name w:val="Body Text"/>
    <w:basedOn w:val="Normal"/>
    <w:link w:val="BodyTextChar"/>
    <w:uiPriority w:val="99"/>
    <w:unhideWhenUsed/>
    <w:rsid w:val="006D4737"/>
    <w:pPr>
      <w:spacing w:after="120"/>
    </w:pPr>
  </w:style>
  <w:style w:type="character" w:customStyle="1" w:styleId="BodyTextChar">
    <w:name w:val="Body Text Char"/>
    <w:basedOn w:val="DefaultParagraphFont"/>
    <w:link w:val="BodyText"/>
    <w:uiPriority w:val="99"/>
    <w:rsid w:val="006D4737"/>
    <w:rPr>
      <w:rFonts w:ascii="Calibri" w:eastAsia="Calibri" w:hAnsi="Calibri" w:cs="Calibri"/>
      <w:lang w:eastAsia="en-GB"/>
    </w:rPr>
  </w:style>
  <w:style w:type="paragraph" w:styleId="ListParagraph">
    <w:name w:val="List Paragraph"/>
    <w:basedOn w:val="Normal"/>
    <w:link w:val="ListParagraphChar"/>
    <w:uiPriority w:val="34"/>
    <w:qFormat/>
    <w:rsid w:val="006D4737"/>
    <w:pPr>
      <w:ind w:left="720"/>
      <w:contextualSpacing/>
    </w:pPr>
  </w:style>
  <w:style w:type="table" w:styleId="TableGrid">
    <w:name w:val="Table Grid"/>
    <w:basedOn w:val="TableNormal"/>
    <w:uiPriority w:val="39"/>
    <w:rsid w:val="00ED1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258"/>
    <w:rPr>
      <w:color w:val="0000FF"/>
      <w:u w:val="single"/>
    </w:rPr>
  </w:style>
  <w:style w:type="paragraph" w:styleId="NormalWeb">
    <w:name w:val="Normal (Web)"/>
    <w:basedOn w:val="Normal"/>
    <w:uiPriority w:val="99"/>
    <w:unhideWhenUsed/>
    <w:rsid w:val="00CF0614"/>
    <w:pPr>
      <w:spacing w:before="100" w:beforeAutospacing="1" w:after="100" w:afterAutospacing="1"/>
    </w:pPr>
    <w:rPr>
      <w:rFonts w:eastAsia="Times New Roman" w:cs="Times New Roman"/>
    </w:rPr>
  </w:style>
  <w:style w:type="paragraph" w:styleId="FootnoteText">
    <w:name w:val="footnote text"/>
    <w:basedOn w:val="Normal"/>
    <w:link w:val="FootnoteTextChar"/>
    <w:uiPriority w:val="99"/>
    <w:semiHidden/>
    <w:unhideWhenUsed/>
    <w:qFormat/>
    <w:rsid w:val="00C16258"/>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1625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16258"/>
    <w:rPr>
      <w:vertAlign w:val="superscript"/>
    </w:rPr>
  </w:style>
  <w:style w:type="paragraph" w:styleId="Footer">
    <w:name w:val="footer"/>
    <w:basedOn w:val="Normal"/>
    <w:link w:val="FooterChar"/>
    <w:uiPriority w:val="99"/>
    <w:unhideWhenUsed/>
    <w:rsid w:val="00E03A77"/>
    <w:pPr>
      <w:tabs>
        <w:tab w:val="center" w:pos="4513"/>
        <w:tab w:val="right" w:pos="9026"/>
      </w:tabs>
    </w:pPr>
  </w:style>
  <w:style w:type="character" w:customStyle="1" w:styleId="FooterChar">
    <w:name w:val="Footer Char"/>
    <w:basedOn w:val="DefaultParagraphFont"/>
    <w:link w:val="Footer"/>
    <w:uiPriority w:val="99"/>
    <w:rsid w:val="00E03A77"/>
    <w:rPr>
      <w:rFonts w:ascii="Calibri" w:eastAsia="Calibri" w:hAnsi="Calibri" w:cs="Calibri"/>
      <w:lang w:eastAsia="en-GB"/>
    </w:rPr>
  </w:style>
  <w:style w:type="character" w:styleId="PageNumber">
    <w:name w:val="page number"/>
    <w:basedOn w:val="DefaultParagraphFont"/>
    <w:uiPriority w:val="99"/>
    <w:semiHidden/>
    <w:unhideWhenUsed/>
    <w:rsid w:val="00E03A77"/>
  </w:style>
  <w:style w:type="paragraph" w:styleId="Header">
    <w:name w:val="header"/>
    <w:basedOn w:val="Normal"/>
    <w:link w:val="HeaderChar"/>
    <w:uiPriority w:val="99"/>
    <w:unhideWhenUsed/>
    <w:rsid w:val="00E03A77"/>
    <w:pPr>
      <w:tabs>
        <w:tab w:val="center" w:pos="4513"/>
        <w:tab w:val="right" w:pos="9026"/>
      </w:tabs>
    </w:pPr>
  </w:style>
  <w:style w:type="character" w:customStyle="1" w:styleId="HeaderChar">
    <w:name w:val="Header Char"/>
    <w:basedOn w:val="DefaultParagraphFont"/>
    <w:link w:val="Header"/>
    <w:uiPriority w:val="99"/>
    <w:rsid w:val="00E03A77"/>
    <w:rPr>
      <w:rFonts w:ascii="Calibri" w:eastAsia="Calibri" w:hAnsi="Calibri" w:cs="Calibri"/>
      <w:lang w:eastAsia="en-GB"/>
    </w:rPr>
  </w:style>
  <w:style w:type="paragraph" w:styleId="Revision">
    <w:name w:val="Revision"/>
    <w:hidden/>
    <w:uiPriority w:val="99"/>
    <w:semiHidden/>
    <w:rsid w:val="00DF4782"/>
    <w:rPr>
      <w:rFonts w:ascii="Calibri" w:eastAsia="Calibri" w:hAnsi="Calibri" w:cs="Calibri"/>
      <w:lang w:eastAsia="en-GB"/>
    </w:rPr>
  </w:style>
  <w:style w:type="character" w:customStyle="1" w:styleId="ListParagraphChar">
    <w:name w:val="List Paragraph Char"/>
    <w:basedOn w:val="DefaultParagraphFont"/>
    <w:link w:val="ListParagraph"/>
    <w:uiPriority w:val="34"/>
    <w:rsid w:val="004D0BF2"/>
    <w:rPr>
      <w:rFonts w:ascii="Calibri" w:eastAsia="Calibri" w:hAnsi="Calibri" w:cs="Calibri"/>
      <w:lang w:eastAsia="en-GB"/>
    </w:rPr>
  </w:style>
  <w:style w:type="character" w:styleId="Strong">
    <w:name w:val="Strong"/>
    <w:basedOn w:val="DefaultParagraphFont"/>
    <w:uiPriority w:val="22"/>
    <w:qFormat/>
    <w:rsid w:val="004D0BF2"/>
    <w:rPr>
      <w:rFonts w:ascii="Arial" w:hAnsi="Arial"/>
      <w:b/>
      <w:bCs/>
      <w:sz w:val="22"/>
    </w:rPr>
  </w:style>
  <w:style w:type="character" w:customStyle="1" w:styleId="Heading2Char">
    <w:name w:val="Heading 2 Char"/>
    <w:basedOn w:val="DefaultParagraphFont"/>
    <w:link w:val="Heading2"/>
    <w:uiPriority w:val="9"/>
    <w:rsid w:val="00590D6F"/>
    <w:rPr>
      <w:rFonts w:eastAsiaTheme="majorEastAsia" w:cstheme="minorHAnsi"/>
      <w:b/>
      <w:bCs/>
      <w:color w:val="000000" w:themeColor="text1"/>
      <w:sz w:val="22"/>
      <w:szCs w:val="22"/>
      <w:lang w:val="en-AU" w:eastAsia="en-GB"/>
    </w:rPr>
  </w:style>
  <w:style w:type="character" w:customStyle="1" w:styleId="Heading1Char">
    <w:name w:val="Heading 1 Char"/>
    <w:basedOn w:val="DefaultParagraphFont"/>
    <w:link w:val="Heading1"/>
    <w:uiPriority w:val="9"/>
    <w:rsid w:val="001D4D6D"/>
    <w:rPr>
      <w:rFonts w:ascii="Arial" w:eastAsiaTheme="majorEastAsia" w:hAnsi="Arial" w:cs="Arial"/>
      <w:b/>
      <w:bCs/>
      <w:color w:val="000000" w:themeColor="text1"/>
      <w:sz w:val="30"/>
      <w:szCs w:val="30"/>
      <w:lang w:val="en-AU" w:eastAsia="en-GB"/>
    </w:rPr>
  </w:style>
  <w:style w:type="paragraph" w:styleId="TOCHeading">
    <w:name w:val="TOC Heading"/>
    <w:aliases w:val="Design- TOC Heading"/>
    <w:basedOn w:val="Heading1"/>
    <w:next w:val="Normal"/>
    <w:uiPriority w:val="39"/>
    <w:unhideWhenUsed/>
    <w:qFormat/>
    <w:rsid w:val="009520DE"/>
    <w:pPr>
      <w:spacing w:before="480" w:line="276" w:lineRule="auto"/>
      <w:outlineLvl w:val="9"/>
    </w:pPr>
    <w:rPr>
      <w:b w:val="0"/>
      <w:bCs w:val="0"/>
      <w:sz w:val="28"/>
      <w:szCs w:val="28"/>
      <w:lang w:val="en-US" w:eastAsia="en-US"/>
    </w:rPr>
  </w:style>
  <w:style w:type="paragraph" w:styleId="TOC2">
    <w:name w:val="toc 2"/>
    <w:basedOn w:val="Normal"/>
    <w:next w:val="Normal"/>
    <w:autoRedefine/>
    <w:uiPriority w:val="39"/>
    <w:unhideWhenUsed/>
    <w:rsid w:val="00BD30A0"/>
    <w:pPr>
      <w:tabs>
        <w:tab w:val="left" w:pos="522"/>
        <w:tab w:val="left" w:pos="1048"/>
        <w:tab w:val="right" w:pos="9622"/>
      </w:tabs>
      <w:spacing w:before="120" w:after="120"/>
      <w:ind w:left="426"/>
    </w:pPr>
    <w:rPr>
      <w:rFonts w:asciiTheme="minorHAnsi" w:hAnsiTheme="minorHAnsi" w:cstheme="minorHAnsi"/>
      <w:b/>
      <w:bCs/>
      <w:smallCaps/>
      <w:sz w:val="22"/>
      <w:szCs w:val="22"/>
    </w:rPr>
  </w:style>
  <w:style w:type="paragraph" w:styleId="TOC1">
    <w:name w:val="toc 1"/>
    <w:basedOn w:val="Normal"/>
    <w:next w:val="Normal"/>
    <w:autoRedefine/>
    <w:uiPriority w:val="39"/>
    <w:unhideWhenUsed/>
    <w:rsid w:val="00945404"/>
    <w:pPr>
      <w:tabs>
        <w:tab w:val="left" w:pos="410"/>
        <w:tab w:val="right" w:pos="9622"/>
      </w:tabs>
      <w:spacing w:before="120" w:after="100" w:line="280" w:lineRule="exact"/>
    </w:pPr>
    <w:rPr>
      <w:rFonts w:ascii="Arial Bold" w:hAnsi="Arial Bold" w:cstheme="minorHAnsi"/>
      <w:b/>
      <w:bCs/>
      <w:sz w:val="22"/>
      <w:szCs w:val="22"/>
      <w:u w:val="single"/>
    </w:rPr>
  </w:style>
  <w:style w:type="paragraph" w:styleId="TOC3">
    <w:name w:val="toc 3"/>
    <w:basedOn w:val="Normal"/>
    <w:next w:val="Normal"/>
    <w:autoRedefine/>
    <w:uiPriority w:val="39"/>
    <w:unhideWhenUsed/>
    <w:rsid w:val="00851678"/>
    <w:pPr>
      <w:tabs>
        <w:tab w:val="left" w:pos="692"/>
        <w:tab w:val="right" w:pos="9622"/>
      </w:tabs>
    </w:pPr>
    <w:rPr>
      <w:rFonts w:asciiTheme="minorHAnsi" w:hAnsiTheme="minorHAnsi" w:cstheme="minorHAnsi"/>
      <w:smallCaps/>
      <w:sz w:val="22"/>
      <w:szCs w:val="22"/>
    </w:rPr>
  </w:style>
  <w:style w:type="paragraph" w:styleId="TOC4">
    <w:name w:val="toc 4"/>
    <w:basedOn w:val="Normal"/>
    <w:next w:val="Normal"/>
    <w:autoRedefine/>
    <w:uiPriority w:val="39"/>
    <w:unhideWhenUsed/>
    <w:rsid w:val="009520DE"/>
    <w:rPr>
      <w:rFonts w:asciiTheme="minorHAnsi" w:hAnsiTheme="minorHAnsi" w:cstheme="minorHAnsi"/>
      <w:sz w:val="22"/>
      <w:szCs w:val="22"/>
    </w:rPr>
  </w:style>
  <w:style w:type="paragraph" w:styleId="TOC5">
    <w:name w:val="toc 5"/>
    <w:basedOn w:val="Normal"/>
    <w:next w:val="Normal"/>
    <w:autoRedefine/>
    <w:uiPriority w:val="39"/>
    <w:unhideWhenUsed/>
    <w:rsid w:val="009520DE"/>
    <w:rPr>
      <w:rFonts w:asciiTheme="minorHAnsi" w:hAnsiTheme="minorHAnsi" w:cstheme="minorHAnsi"/>
      <w:sz w:val="22"/>
      <w:szCs w:val="22"/>
    </w:rPr>
  </w:style>
  <w:style w:type="paragraph" w:styleId="TOC6">
    <w:name w:val="toc 6"/>
    <w:basedOn w:val="Normal"/>
    <w:next w:val="Normal"/>
    <w:autoRedefine/>
    <w:uiPriority w:val="39"/>
    <w:unhideWhenUsed/>
    <w:rsid w:val="009520DE"/>
    <w:rPr>
      <w:rFonts w:asciiTheme="minorHAnsi" w:hAnsiTheme="minorHAnsi" w:cstheme="minorHAnsi"/>
      <w:sz w:val="22"/>
      <w:szCs w:val="22"/>
    </w:rPr>
  </w:style>
  <w:style w:type="paragraph" w:styleId="TOC7">
    <w:name w:val="toc 7"/>
    <w:basedOn w:val="Normal"/>
    <w:next w:val="Normal"/>
    <w:autoRedefine/>
    <w:uiPriority w:val="39"/>
    <w:unhideWhenUsed/>
    <w:rsid w:val="009520DE"/>
    <w:rPr>
      <w:rFonts w:asciiTheme="minorHAnsi" w:hAnsiTheme="minorHAnsi" w:cstheme="minorHAnsi"/>
      <w:sz w:val="22"/>
      <w:szCs w:val="22"/>
    </w:rPr>
  </w:style>
  <w:style w:type="paragraph" w:styleId="TOC8">
    <w:name w:val="toc 8"/>
    <w:basedOn w:val="Normal"/>
    <w:next w:val="Normal"/>
    <w:autoRedefine/>
    <w:uiPriority w:val="39"/>
    <w:unhideWhenUsed/>
    <w:rsid w:val="009520DE"/>
    <w:rPr>
      <w:rFonts w:asciiTheme="minorHAnsi" w:hAnsiTheme="minorHAnsi" w:cstheme="minorHAnsi"/>
      <w:sz w:val="22"/>
      <w:szCs w:val="22"/>
    </w:rPr>
  </w:style>
  <w:style w:type="paragraph" w:styleId="TOC9">
    <w:name w:val="toc 9"/>
    <w:basedOn w:val="Normal"/>
    <w:next w:val="Normal"/>
    <w:autoRedefine/>
    <w:uiPriority w:val="39"/>
    <w:unhideWhenUsed/>
    <w:rsid w:val="009520DE"/>
    <w:rPr>
      <w:rFonts w:asciiTheme="minorHAnsi" w:hAnsiTheme="minorHAnsi" w:cstheme="minorHAnsi"/>
      <w:sz w:val="22"/>
      <w:szCs w:val="22"/>
    </w:rPr>
  </w:style>
  <w:style w:type="character" w:customStyle="1" w:styleId="Heading3Char">
    <w:name w:val="Heading 3 Char"/>
    <w:basedOn w:val="DefaultParagraphFont"/>
    <w:link w:val="Heading3"/>
    <w:uiPriority w:val="9"/>
    <w:rsid w:val="006A1F8C"/>
    <w:rPr>
      <w:rFonts w:eastAsiaTheme="majorEastAsia" w:cstheme="minorHAnsi"/>
      <w:b/>
      <w:bCs/>
      <w:color w:val="000000" w:themeColor="text1"/>
      <w:sz w:val="22"/>
      <w:szCs w:val="22"/>
      <w:lang w:val="en-AU" w:eastAsia="en-GB"/>
    </w:rPr>
  </w:style>
  <w:style w:type="character" w:customStyle="1" w:styleId="apple-converted-space">
    <w:name w:val="apple-converted-space"/>
    <w:basedOn w:val="DefaultParagraphFont"/>
    <w:rsid w:val="00EE6137"/>
  </w:style>
  <w:style w:type="character" w:styleId="Emphasis">
    <w:name w:val="Emphasis"/>
    <w:basedOn w:val="DefaultParagraphFont"/>
    <w:uiPriority w:val="20"/>
    <w:qFormat/>
    <w:rsid w:val="00961828"/>
    <w:rPr>
      <w:i/>
      <w:iCs/>
    </w:rPr>
  </w:style>
  <w:style w:type="paragraph" w:customStyle="1" w:styleId="NumberedHeading1">
    <w:name w:val="Numbered Heading 1"/>
    <w:basedOn w:val="BodyText"/>
    <w:next w:val="BodyText"/>
    <w:uiPriority w:val="2"/>
    <w:qFormat/>
    <w:rsid w:val="00337159"/>
    <w:pPr>
      <w:numPr>
        <w:numId w:val="5"/>
      </w:numPr>
      <w:spacing w:before="360" w:after="240" w:line="259" w:lineRule="auto"/>
      <w:jc w:val="both"/>
      <w:outlineLvl w:val="0"/>
    </w:pPr>
    <w:rPr>
      <w:rFonts w:asciiTheme="majorHAnsi" w:eastAsiaTheme="minorHAnsi" w:hAnsiTheme="majorHAnsi" w:cstheme="minorBidi"/>
      <w:b/>
      <w:bCs/>
      <w:caps/>
      <w:color w:val="36424A"/>
      <w:sz w:val="28"/>
      <w:szCs w:val="22"/>
      <w:lang w:eastAsia="en-US"/>
    </w:rPr>
  </w:style>
  <w:style w:type="paragraph" w:customStyle="1" w:styleId="NumberedHeading2">
    <w:name w:val="Numbered Heading 2"/>
    <w:basedOn w:val="BodyText"/>
    <w:link w:val="NumberedHeading2Char"/>
    <w:uiPriority w:val="2"/>
    <w:qFormat/>
    <w:rsid w:val="00337159"/>
    <w:pPr>
      <w:numPr>
        <w:ilvl w:val="1"/>
        <w:numId w:val="5"/>
      </w:numPr>
      <w:spacing w:before="360" w:line="259" w:lineRule="auto"/>
      <w:jc w:val="both"/>
    </w:pPr>
    <w:rPr>
      <w:rFonts w:asciiTheme="majorHAnsi" w:eastAsiaTheme="minorHAnsi" w:hAnsiTheme="majorHAnsi" w:cstheme="minorBidi"/>
      <w:b/>
      <w:bCs/>
      <w:color w:val="36424A"/>
      <w:sz w:val="28"/>
      <w:szCs w:val="22"/>
      <w:lang w:eastAsia="en-US"/>
    </w:rPr>
  </w:style>
  <w:style w:type="character" w:customStyle="1" w:styleId="NumberedHeading2Char">
    <w:name w:val="Numbered Heading 2 Char"/>
    <w:basedOn w:val="DefaultParagraphFont"/>
    <w:link w:val="NumberedHeading2"/>
    <w:uiPriority w:val="2"/>
    <w:rsid w:val="00337159"/>
    <w:rPr>
      <w:rFonts w:asciiTheme="majorHAnsi" w:hAnsiTheme="majorHAnsi"/>
      <w:b/>
      <w:bCs/>
      <w:color w:val="36424A"/>
      <w:sz w:val="28"/>
      <w:szCs w:val="22"/>
      <w:lang w:val="en-AU"/>
    </w:rPr>
  </w:style>
  <w:style w:type="paragraph" w:customStyle="1" w:styleId="Dotpointinfo">
    <w:name w:val="Dot point (info)"/>
    <w:basedOn w:val="ListParagraph"/>
    <w:uiPriority w:val="99"/>
    <w:qFormat/>
    <w:rsid w:val="00337159"/>
    <w:pPr>
      <w:numPr>
        <w:numId w:val="4"/>
      </w:numPr>
      <w:shd w:val="clear" w:color="auto" w:fill="FFFFFF"/>
      <w:spacing w:before="120"/>
    </w:pPr>
    <w:rPr>
      <w:rFonts w:eastAsia="Times New Roman"/>
      <w:color w:val="000000"/>
      <w:sz w:val="22"/>
      <w:szCs w:val="21"/>
      <w:lang w:val="en-NZ" w:eastAsia="en-NZ"/>
    </w:rPr>
  </w:style>
  <w:style w:type="paragraph" w:customStyle="1" w:styleId="NumberedHeading3">
    <w:name w:val="Numbered Heading 3"/>
    <w:basedOn w:val="ListParagraph"/>
    <w:next w:val="BodyText"/>
    <w:uiPriority w:val="2"/>
    <w:qFormat/>
    <w:rsid w:val="00337159"/>
    <w:pPr>
      <w:keepNext/>
      <w:numPr>
        <w:ilvl w:val="2"/>
        <w:numId w:val="5"/>
      </w:numPr>
      <w:spacing w:before="240" w:after="120" w:line="280" w:lineRule="exact"/>
      <w:contextualSpacing w:val="0"/>
      <w:outlineLvl w:val="2"/>
    </w:pPr>
    <w:rPr>
      <w:rFonts w:asciiTheme="majorHAnsi" w:eastAsiaTheme="minorHAnsi" w:hAnsiTheme="majorHAnsi" w:cstheme="minorBidi"/>
      <w:b/>
      <w:color w:val="44546A" w:themeColor="text2"/>
      <w:szCs w:val="22"/>
      <w:lang w:val="en-NZ" w:eastAsia="en-US"/>
    </w:rPr>
  </w:style>
  <w:style w:type="paragraph" w:customStyle="1" w:styleId="TableBody-text">
    <w:name w:val="Table Body-text"/>
    <w:basedOn w:val="Normal"/>
    <w:link w:val="TableBody-textChar"/>
    <w:qFormat/>
    <w:rsid w:val="00715135"/>
    <w:pPr>
      <w:spacing w:before="80" w:after="80" w:line="280" w:lineRule="exact"/>
    </w:pPr>
    <w:rPr>
      <w:rFonts w:eastAsiaTheme="minorHAnsi" w:cstheme="minorBidi"/>
      <w:color w:val="FFC000" w:themeColor="accent4"/>
      <w:sz w:val="22"/>
      <w:szCs w:val="22"/>
      <w:lang w:eastAsia="en-US"/>
    </w:rPr>
  </w:style>
  <w:style w:type="character" w:customStyle="1" w:styleId="TableBody-textChar">
    <w:name w:val="Table Body-text Char"/>
    <w:basedOn w:val="DefaultParagraphFont"/>
    <w:link w:val="TableBody-text"/>
    <w:rsid w:val="00715135"/>
    <w:rPr>
      <w:rFonts w:ascii="Calibri" w:hAnsi="Calibri"/>
      <w:color w:val="FFC000" w:themeColor="accent4"/>
      <w:sz w:val="22"/>
      <w:szCs w:val="22"/>
      <w:lang w:val="en-AU"/>
    </w:rPr>
  </w:style>
  <w:style w:type="paragraph" w:customStyle="1" w:styleId="TableHeader">
    <w:name w:val="Table Header"/>
    <w:basedOn w:val="Normal"/>
    <w:link w:val="TableHeaderChar"/>
    <w:qFormat/>
    <w:rsid w:val="00715135"/>
    <w:pPr>
      <w:spacing w:before="80" w:after="80" w:line="280" w:lineRule="exact"/>
    </w:pPr>
    <w:rPr>
      <w:rFonts w:eastAsiaTheme="minorHAnsi" w:cstheme="minorBidi"/>
      <w:b/>
      <w:bCs/>
      <w:color w:val="70AD47" w:themeColor="accent6"/>
      <w:sz w:val="22"/>
      <w:lang w:eastAsia="en-US"/>
    </w:rPr>
  </w:style>
  <w:style w:type="character" w:customStyle="1" w:styleId="TableHeaderChar">
    <w:name w:val="Table Header Char"/>
    <w:basedOn w:val="DefaultParagraphFont"/>
    <w:link w:val="TableHeader"/>
    <w:rsid w:val="00715135"/>
    <w:rPr>
      <w:rFonts w:ascii="Calibri" w:hAnsi="Calibri"/>
      <w:b/>
      <w:bCs/>
      <w:color w:val="70AD47" w:themeColor="accent6"/>
      <w:sz w:val="22"/>
      <w:lang w:val="en-AU"/>
    </w:rPr>
  </w:style>
  <w:style w:type="paragraph" w:styleId="Caption">
    <w:name w:val="caption"/>
    <w:basedOn w:val="Normal"/>
    <w:next w:val="BodyText"/>
    <w:link w:val="CaptionChar"/>
    <w:uiPriority w:val="99"/>
    <w:qFormat/>
    <w:rsid w:val="000B25D9"/>
    <w:pPr>
      <w:spacing w:after="120" w:line="259" w:lineRule="auto"/>
    </w:pPr>
    <w:rPr>
      <w:rFonts w:eastAsiaTheme="minorHAnsi" w:cstheme="minorBidi"/>
      <w:b/>
      <w:bCs/>
      <w:color w:val="36424A"/>
      <w:sz w:val="22"/>
      <w:szCs w:val="18"/>
      <w:lang w:val="en-NZ" w:eastAsia="en-US"/>
    </w:rPr>
  </w:style>
  <w:style w:type="character" w:customStyle="1" w:styleId="CaptionChar">
    <w:name w:val="Caption Char"/>
    <w:link w:val="Caption"/>
    <w:uiPriority w:val="99"/>
    <w:locked/>
    <w:rsid w:val="00715135"/>
    <w:rPr>
      <w:rFonts w:ascii="Arial" w:hAnsi="Arial"/>
      <w:b/>
      <w:bCs/>
      <w:color w:val="36424A"/>
      <w:sz w:val="22"/>
      <w:szCs w:val="18"/>
      <w:lang w:val="en-NZ"/>
    </w:rPr>
  </w:style>
  <w:style w:type="table" w:customStyle="1" w:styleId="ACtable22">
    <w:name w:val="A+C table 22"/>
    <w:basedOn w:val="TableNormal"/>
    <w:next w:val="TableGrid"/>
    <w:uiPriority w:val="39"/>
    <w:rsid w:val="00715135"/>
    <w:rPr>
      <w:rFonts w:ascii="Calibri" w:hAnsi="Calibri"/>
      <w:sz w:val="22"/>
      <w:szCs w:val="22"/>
      <w:lang w:val="en-AU"/>
    </w:rPr>
    <w:tblPr>
      <w:tblStyleRowBandSize w:val="1"/>
      <w:tblBorders>
        <w:bottom w:val="single" w:sz="4" w:space="0" w:color="77B800"/>
      </w:tblBorders>
      <w:tblCellMar>
        <w:top w:w="57" w:type="dxa"/>
        <w:left w:w="85" w:type="dxa"/>
        <w:bottom w:w="57" w:type="dxa"/>
        <w:right w:w="85" w:type="dxa"/>
      </w:tblCellMar>
    </w:tblPr>
    <w:tblStylePr w:type="firstRow">
      <w:rPr>
        <w:b/>
      </w:rPr>
      <w:tblPr/>
      <w:tcPr>
        <w:shd w:val="clear" w:color="auto" w:fill="77B800"/>
      </w:tcPr>
    </w:tblStylePr>
    <w:tblStylePr w:type="band1Horz">
      <w:tblPr/>
      <w:tcPr>
        <w:shd w:val="clear" w:color="auto" w:fill="F4FFE1"/>
      </w:tcPr>
    </w:tblStylePr>
  </w:style>
  <w:style w:type="table" w:styleId="PlainTable1">
    <w:name w:val="Plain Table 1"/>
    <w:basedOn w:val="TableNormal"/>
    <w:uiPriority w:val="41"/>
    <w:rsid w:val="00EC7E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EC7E9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EC7E98"/>
    <w:rPr>
      <w:b/>
      <w:bCs/>
    </w:rPr>
  </w:style>
  <w:style w:type="character" w:customStyle="1" w:styleId="CommentSubjectChar">
    <w:name w:val="Comment Subject Char"/>
    <w:basedOn w:val="CommentTextChar"/>
    <w:link w:val="CommentSubject"/>
    <w:uiPriority w:val="99"/>
    <w:semiHidden/>
    <w:rsid w:val="00EC7E98"/>
    <w:rPr>
      <w:rFonts w:ascii="Calibri" w:eastAsia="Calibri" w:hAnsi="Calibri" w:cs="Calibri"/>
      <w:b/>
      <w:bCs/>
      <w:sz w:val="20"/>
      <w:szCs w:val="20"/>
      <w:lang w:eastAsia="en-GB"/>
    </w:rPr>
  </w:style>
  <w:style w:type="numbering" w:customStyle="1" w:styleId="NumberedHeadings">
    <w:name w:val="Numbered Headings"/>
    <w:uiPriority w:val="99"/>
    <w:rsid w:val="00F54EC5"/>
    <w:pPr>
      <w:numPr>
        <w:numId w:val="6"/>
      </w:numPr>
    </w:pPr>
  </w:style>
  <w:style w:type="paragraph" w:styleId="EndnoteText">
    <w:name w:val="endnote text"/>
    <w:basedOn w:val="Normal"/>
    <w:link w:val="EndnoteTextChar"/>
    <w:uiPriority w:val="99"/>
    <w:unhideWhenUsed/>
    <w:rsid w:val="00BA7105"/>
    <w:rPr>
      <w:sz w:val="20"/>
      <w:szCs w:val="20"/>
    </w:rPr>
  </w:style>
  <w:style w:type="character" w:customStyle="1" w:styleId="EndnoteTextChar">
    <w:name w:val="Endnote Text Char"/>
    <w:basedOn w:val="DefaultParagraphFont"/>
    <w:link w:val="EndnoteText"/>
    <w:uiPriority w:val="99"/>
    <w:rsid w:val="00BA7105"/>
    <w:rPr>
      <w:rFonts w:ascii="Calibri" w:eastAsia="Calibri" w:hAnsi="Calibri" w:cs="Calibri"/>
      <w:sz w:val="20"/>
      <w:szCs w:val="20"/>
      <w:lang w:eastAsia="en-GB"/>
    </w:rPr>
  </w:style>
  <w:style w:type="character" w:styleId="EndnoteReference">
    <w:name w:val="endnote reference"/>
    <w:basedOn w:val="DefaultParagraphFont"/>
    <w:uiPriority w:val="99"/>
    <w:semiHidden/>
    <w:unhideWhenUsed/>
    <w:rsid w:val="00BA7105"/>
    <w:rPr>
      <w:vertAlign w:val="superscript"/>
    </w:rPr>
  </w:style>
  <w:style w:type="character" w:styleId="UnresolvedMention">
    <w:name w:val="Unresolved Mention"/>
    <w:basedOn w:val="DefaultParagraphFont"/>
    <w:uiPriority w:val="99"/>
    <w:rsid w:val="00415B83"/>
    <w:rPr>
      <w:color w:val="605E5C"/>
      <w:shd w:val="clear" w:color="auto" w:fill="E1DFDD"/>
    </w:rPr>
  </w:style>
  <w:style w:type="character" w:styleId="FollowedHyperlink">
    <w:name w:val="FollowedHyperlink"/>
    <w:basedOn w:val="DefaultParagraphFont"/>
    <w:uiPriority w:val="99"/>
    <w:semiHidden/>
    <w:unhideWhenUsed/>
    <w:rsid w:val="00110EF8"/>
    <w:rPr>
      <w:color w:val="954F72" w:themeColor="followedHyperlink"/>
      <w:u w:val="single"/>
    </w:rPr>
  </w:style>
  <w:style w:type="character" w:customStyle="1" w:styleId="Heading4Char">
    <w:name w:val="Heading 4 Char"/>
    <w:basedOn w:val="DefaultParagraphFont"/>
    <w:link w:val="Heading4"/>
    <w:uiPriority w:val="9"/>
    <w:semiHidden/>
    <w:rsid w:val="00360F07"/>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360F07"/>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360F07"/>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360F07"/>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360F07"/>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360F07"/>
    <w:rPr>
      <w:rFonts w:asciiTheme="majorHAnsi" w:eastAsiaTheme="majorEastAsia" w:hAnsiTheme="majorHAnsi" w:cstheme="majorBidi"/>
      <w:i/>
      <w:iCs/>
      <w:color w:val="272727" w:themeColor="text1" w:themeTint="D8"/>
      <w:sz w:val="21"/>
      <w:szCs w:val="21"/>
      <w:lang w:eastAsia="en-GB"/>
    </w:rPr>
  </w:style>
  <w:style w:type="paragraph" w:customStyle="1" w:styleId="m-7641938521473787151msolistparagraph">
    <w:name w:val="m_-7641938521473787151msolistparagraph"/>
    <w:basedOn w:val="Normal"/>
    <w:rsid w:val="00DE64F7"/>
    <w:pPr>
      <w:spacing w:before="100" w:beforeAutospacing="1" w:after="100" w:afterAutospacing="1"/>
    </w:pPr>
    <w:rPr>
      <w:rFonts w:ascii="Times New Roman" w:eastAsia="Times New Roman" w:hAnsi="Times New Roman" w:cs="Times New Roman"/>
    </w:rPr>
  </w:style>
  <w:style w:type="paragraph" w:customStyle="1" w:styleId="Default">
    <w:name w:val="Default"/>
    <w:rsid w:val="007649A9"/>
    <w:pPr>
      <w:autoSpaceDE w:val="0"/>
      <w:autoSpaceDN w:val="0"/>
      <w:adjustRightInd w:val="0"/>
    </w:pPr>
    <w:rPr>
      <w:rFonts w:ascii="Arial" w:hAnsi="Arial" w:cs="Arial"/>
      <w:color w:val="000000"/>
      <w:lang w:val="en-AU"/>
    </w:rPr>
  </w:style>
  <w:style w:type="paragraph" w:styleId="Bibliography">
    <w:name w:val="Bibliography"/>
    <w:basedOn w:val="Normal"/>
    <w:next w:val="Normal"/>
    <w:uiPriority w:val="37"/>
    <w:unhideWhenUsed/>
    <w:rsid w:val="004E15C6"/>
  </w:style>
  <w:style w:type="paragraph" w:customStyle="1" w:styleId="m-7663168044847497275msolistparagraph">
    <w:name w:val="m_-7663168044847497275msolistparagraph"/>
    <w:basedOn w:val="Normal"/>
    <w:rsid w:val="001D5E25"/>
    <w:pPr>
      <w:spacing w:before="100" w:beforeAutospacing="1" w:after="100" w:afterAutospacing="1"/>
    </w:pPr>
    <w:rPr>
      <w:rFonts w:ascii="Times New Roman" w:eastAsia="Times New Roman" w:hAnsi="Times New Roman" w:cs="Times New Roman"/>
    </w:rPr>
  </w:style>
  <w:style w:type="table" w:styleId="GridTable1Light">
    <w:name w:val="Grid Table 1 Light"/>
    <w:basedOn w:val="TableNormal"/>
    <w:uiPriority w:val="46"/>
    <w:rsid w:val="002A52D4"/>
    <w:rPr>
      <w:kern w:val="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794797"/>
    <w:pPr>
      <w:spacing w:before="100" w:beforeAutospacing="1" w:after="100" w:afterAutospacing="1"/>
    </w:pPr>
    <w:rPr>
      <w:rFonts w:ascii="Times New Roman" w:eastAsia="Times New Roman" w:hAnsi="Times New Roman" w:cs="Times New Roman"/>
      <w:lang w:eastAsia="en-AU"/>
    </w:rPr>
  </w:style>
  <w:style w:type="paragraph" w:customStyle="1" w:styleId="Heading">
    <w:name w:val="Heading"/>
    <w:next w:val="Normal"/>
    <w:rsid w:val="004E41C2"/>
    <w:pPr>
      <w:keepNext/>
      <w:keepLines/>
      <w:pBdr>
        <w:top w:val="nil"/>
        <w:left w:val="nil"/>
        <w:bottom w:val="nil"/>
        <w:right w:val="nil"/>
        <w:between w:val="nil"/>
        <w:bar w:val="nil"/>
      </w:pBdr>
      <w:spacing w:before="240"/>
      <w:outlineLvl w:val="0"/>
    </w:pPr>
    <w:rPr>
      <w:rFonts w:ascii="Calibri" w:eastAsia="Calibri" w:hAnsi="Calibri" w:cs="Calibri"/>
      <w:color w:val="2F5496"/>
      <w:sz w:val="32"/>
      <w:szCs w:val="32"/>
      <w:u w:color="2F5496"/>
      <w:bdr w:val="nil"/>
      <w:lang w:eastAsia="en-GB"/>
      <w14:textOutline w14:w="0" w14:cap="flat" w14:cmpd="sng" w14:algn="ctr">
        <w14:noFill/>
        <w14:prstDash w14:val="solid"/>
        <w14:bevel/>
      </w14:textOutline>
    </w:rPr>
  </w:style>
  <w:style w:type="character" w:customStyle="1" w:styleId="None">
    <w:name w:val="None"/>
    <w:rsid w:val="004D6C8F"/>
  </w:style>
  <w:style w:type="paragraph" w:customStyle="1" w:styleId="Body">
    <w:name w:val="Body"/>
    <w:rsid w:val="00FB75B3"/>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Hyperlink3">
    <w:name w:val="Hyperlink.3"/>
    <w:basedOn w:val="None"/>
    <w:rsid w:val="003F2960"/>
    <w:rPr>
      <w:rFonts w:ascii="Calibri" w:eastAsia="Calibri" w:hAnsi="Calibri" w:cs="Calibri"/>
      <w:outline w:val="0"/>
      <w:color w:val="000000"/>
      <w:sz w:val="22"/>
      <w:szCs w:val="22"/>
      <w:u w:color="000000"/>
      <w:lang w:val="en-US"/>
    </w:rPr>
  </w:style>
  <w:style w:type="character" w:styleId="Mention">
    <w:name w:val="Mention"/>
    <w:basedOn w:val="DefaultParagraphFont"/>
    <w:uiPriority w:val="99"/>
    <w:unhideWhenUsed/>
    <w:rsid w:val="00874BF5"/>
    <w:rPr>
      <w:color w:val="2B579A"/>
      <w:shd w:val="clear" w:color="auto" w:fill="E1DFDD"/>
    </w:rPr>
  </w:style>
  <w:style w:type="character" w:customStyle="1" w:styleId="cf01">
    <w:name w:val="cf01"/>
    <w:basedOn w:val="DefaultParagraphFont"/>
    <w:rsid w:val="0015317A"/>
    <w:rPr>
      <w:rFonts w:ascii="Segoe UI" w:hAnsi="Segoe UI" w:cs="Segoe UI" w:hint="default"/>
      <w:sz w:val="18"/>
      <w:szCs w:val="18"/>
    </w:rPr>
  </w:style>
  <w:style w:type="table" w:customStyle="1" w:styleId="DepartmentofHealthtable1">
    <w:name w:val="Department of Health table1"/>
    <w:basedOn w:val="TableNormal"/>
    <w:uiPriority w:val="99"/>
    <w:rsid w:val="00676E0E"/>
    <w:rPr>
      <w:rFonts w:ascii="Arial" w:eastAsia="Times New Roman" w:hAnsi="Arial" w:cs="Times New Roman"/>
      <w:color w:val="000000"/>
      <w:sz w:val="21"/>
      <w:szCs w:val="20"/>
      <w:lang w:val="en-AU" w:eastAsia="en-AU"/>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character" w:customStyle="1" w:styleId="normaltextrun">
    <w:name w:val="normaltextrun"/>
    <w:basedOn w:val="DefaultParagraphFont"/>
    <w:uiPriority w:val="1"/>
    <w:rsid w:val="00D82E3C"/>
  </w:style>
  <w:style w:type="character" w:customStyle="1" w:styleId="eop">
    <w:name w:val="eop"/>
    <w:basedOn w:val="DefaultParagraphFont"/>
    <w:rsid w:val="00D82E3C"/>
  </w:style>
  <w:style w:type="table" w:customStyle="1" w:styleId="ACTableDesign">
    <w:name w:val="A+C Table Design"/>
    <w:basedOn w:val="TableNormal"/>
    <w:uiPriority w:val="99"/>
    <w:rsid w:val="008A60D7"/>
    <w:pPr>
      <w:spacing w:before="120" w:after="120"/>
    </w:pPr>
    <w:rPr>
      <w:color w:val="E7E6E6" w:themeColor="background2"/>
      <w:sz w:val="21"/>
      <w:szCs w:val="20"/>
      <w:lang w:val="en-US"/>
    </w:rPr>
    <w:tblPr>
      <w:tblStyleRowBandSize w:val="1"/>
      <w:tblStyleColBandSize w:val="1"/>
      <w:tblBorders>
        <w:top w:val="single" w:sz="2" w:space="0" w:color="ED7D31" w:themeColor="accent2"/>
        <w:left w:val="single" w:sz="2" w:space="0" w:color="ED7D31" w:themeColor="accent2"/>
        <w:bottom w:val="single" w:sz="2" w:space="0" w:color="ED7D31" w:themeColor="accent2"/>
        <w:right w:val="single" w:sz="2" w:space="0" w:color="ED7D31" w:themeColor="accent2"/>
        <w:insideH w:val="single" w:sz="2" w:space="0" w:color="ED7D31" w:themeColor="accent2"/>
        <w:insideV w:val="single" w:sz="2" w:space="0" w:color="ED7D31" w:themeColor="accent2"/>
      </w:tblBorders>
    </w:tblPr>
    <w:tcPr>
      <w:vAlign w:val="center"/>
    </w:tcPr>
    <w:tblStylePr w:type="firstRow">
      <w:pPr>
        <w:jc w:val="left"/>
      </w:pPr>
      <w:rPr>
        <w:rFonts w:ascii="Arial" w:hAnsi="Arial"/>
        <w:b/>
        <w:color w:val="000000" w:themeColor="text1"/>
        <w:sz w:val="21"/>
      </w:rPr>
      <w:tblPr/>
      <w:tcPr>
        <w:shd w:val="clear" w:color="auto" w:fill="4472C4"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44546A" w:themeFill="text2"/>
      </w:tcPr>
    </w:tblStylePr>
  </w:style>
  <w:style w:type="paragraph" w:styleId="BalloonText">
    <w:name w:val="Balloon Text"/>
    <w:basedOn w:val="Normal"/>
    <w:link w:val="BalloonTextChar"/>
    <w:uiPriority w:val="99"/>
    <w:semiHidden/>
    <w:unhideWhenUsed/>
    <w:rsid w:val="001F1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CC4"/>
    <w:rPr>
      <w:rFonts w:ascii="Segoe UI" w:eastAsia="Calibri" w:hAnsi="Segoe UI" w:cs="Segoe UI"/>
      <w:sz w:val="18"/>
      <w:szCs w:val="18"/>
      <w:lang w:val="en-AU" w:eastAsia="en-GB"/>
    </w:rPr>
  </w:style>
  <w:style w:type="paragraph" w:styleId="PlainText">
    <w:name w:val="Plain Text"/>
    <w:basedOn w:val="Normal"/>
    <w:link w:val="PlainTextChar"/>
    <w:uiPriority w:val="99"/>
    <w:unhideWhenUsed/>
    <w:rsid w:val="0046308A"/>
    <w:rPr>
      <w:rFonts w:ascii="Calibri" w:eastAsia="Times New Roman"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rsid w:val="0046308A"/>
    <w:rPr>
      <w:rFonts w:ascii="Calibri" w:eastAsia="Times New Roman" w:hAnsi="Calibri"/>
      <w:kern w:val="2"/>
      <w:sz w:val="22"/>
      <w:szCs w:val="21"/>
      <w:lang w:val="en-AU"/>
      <w14:ligatures w14:val="standardContextual"/>
    </w:rPr>
  </w:style>
  <w:style w:type="numbering" w:customStyle="1" w:styleId="TableBullets">
    <w:name w:val="Table Bullets"/>
    <w:uiPriority w:val="99"/>
    <w:rsid w:val="00D17F26"/>
    <w:pPr>
      <w:numPr>
        <w:numId w:val="33"/>
      </w:numPr>
    </w:pPr>
  </w:style>
  <w:style w:type="paragraph" w:styleId="BlockText">
    <w:name w:val="Block Text"/>
    <w:basedOn w:val="Normal"/>
    <w:uiPriority w:val="99"/>
    <w:semiHidden/>
    <w:unhideWhenUsed/>
    <w:rsid w:val="008B43F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8B43F1"/>
    <w:pPr>
      <w:spacing w:after="120" w:line="480" w:lineRule="auto"/>
    </w:pPr>
  </w:style>
  <w:style w:type="character" w:customStyle="1" w:styleId="BodyText2Char">
    <w:name w:val="Body Text 2 Char"/>
    <w:basedOn w:val="DefaultParagraphFont"/>
    <w:link w:val="BodyText2"/>
    <w:uiPriority w:val="99"/>
    <w:semiHidden/>
    <w:rsid w:val="008B43F1"/>
    <w:rPr>
      <w:rFonts w:ascii="Arial" w:eastAsia="Calibri" w:hAnsi="Arial" w:cs="Calibri"/>
      <w:lang w:val="en-AU" w:eastAsia="en-GB"/>
    </w:rPr>
  </w:style>
  <w:style w:type="paragraph" w:styleId="BodyText3">
    <w:name w:val="Body Text 3"/>
    <w:basedOn w:val="Normal"/>
    <w:link w:val="BodyText3Char"/>
    <w:uiPriority w:val="99"/>
    <w:semiHidden/>
    <w:unhideWhenUsed/>
    <w:rsid w:val="008B43F1"/>
    <w:pPr>
      <w:spacing w:after="120"/>
    </w:pPr>
    <w:rPr>
      <w:sz w:val="16"/>
      <w:szCs w:val="16"/>
    </w:rPr>
  </w:style>
  <w:style w:type="character" w:customStyle="1" w:styleId="BodyText3Char">
    <w:name w:val="Body Text 3 Char"/>
    <w:basedOn w:val="DefaultParagraphFont"/>
    <w:link w:val="BodyText3"/>
    <w:uiPriority w:val="99"/>
    <w:semiHidden/>
    <w:rsid w:val="008B43F1"/>
    <w:rPr>
      <w:rFonts w:ascii="Arial" w:eastAsia="Calibri" w:hAnsi="Arial" w:cs="Calibri"/>
      <w:sz w:val="16"/>
      <w:szCs w:val="16"/>
      <w:lang w:val="en-AU" w:eastAsia="en-GB"/>
    </w:rPr>
  </w:style>
  <w:style w:type="paragraph" w:styleId="BodyTextFirstIndent">
    <w:name w:val="Body Text First Indent"/>
    <w:basedOn w:val="BodyText"/>
    <w:link w:val="BodyTextFirstIndentChar"/>
    <w:uiPriority w:val="99"/>
    <w:semiHidden/>
    <w:unhideWhenUsed/>
    <w:rsid w:val="008B43F1"/>
    <w:pPr>
      <w:spacing w:after="0"/>
      <w:ind w:firstLine="360"/>
    </w:pPr>
  </w:style>
  <w:style w:type="character" w:customStyle="1" w:styleId="BodyTextFirstIndentChar">
    <w:name w:val="Body Text First Indent Char"/>
    <w:basedOn w:val="BodyTextChar"/>
    <w:link w:val="BodyTextFirstIndent"/>
    <w:uiPriority w:val="99"/>
    <w:semiHidden/>
    <w:rsid w:val="008B43F1"/>
    <w:rPr>
      <w:rFonts w:ascii="Arial" w:eastAsia="Calibri" w:hAnsi="Arial" w:cs="Calibri"/>
      <w:lang w:val="en-AU" w:eastAsia="en-GB"/>
    </w:rPr>
  </w:style>
  <w:style w:type="paragraph" w:styleId="BodyTextIndent">
    <w:name w:val="Body Text Indent"/>
    <w:basedOn w:val="Normal"/>
    <w:link w:val="BodyTextIndentChar"/>
    <w:uiPriority w:val="99"/>
    <w:semiHidden/>
    <w:unhideWhenUsed/>
    <w:rsid w:val="008B43F1"/>
    <w:pPr>
      <w:spacing w:after="120"/>
      <w:ind w:left="283"/>
    </w:pPr>
  </w:style>
  <w:style w:type="character" w:customStyle="1" w:styleId="BodyTextIndentChar">
    <w:name w:val="Body Text Indent Char"/>
    <w:basedOn w:val="DefaultParagraphFont"/>
    <w:link w:val="BodyTextIndent"/>
    <w:uiPriority w:val="99"/>
    <w:semiHidden/>
    <w:rsid w:val="008B43F1"/>
    <w:rPr>
      <w:rFonts w:ascii="Arial" w:eastAsia="Calibri" w:hAnsi="Arial" w:cs="Calibri"/>
      <w:lang w:val="en-AU" w:eastAsia="en-GB"/>
    </w:rPr>
  </w:style>
  <w:style w:type="paragraph" w:styleId="BodyTextFirstIndent2">
    <w:name w:val="Body Text First Indent 2"/>
    <w:basedOn w:val="BodyTextIndent"/>
    <w:link w:val="BodyTextFirstIndent2Char"/>
    <w:uiPriority w:val="99"/>
    <w:semiHidden/>
    <w:unhideWhenUsed/>
    <w:rsid w:val="008B43F1"/>
    <w:pPr>
      <w:spacing w:after="0"/>
      <w:ind w:left="360" w:firstLine="360"/>
    </w:pPr>
  </w:style>
  <w:style w:type="character" w:customStyle="1" w:styleId="BodyTextFirstIndent2Char">
    <w:name w:val="Body Text First Indent 2 Char"/>
    <w:basedOn w:val="BodyTextIndentChar"/>
    <w:link w:val="BodyTextFirstIndent2"/>
    <w:uiPriority w:val="99"/>
    <w:semiHidden/>
    <w:rsid w:val="008B43F1"/>
    <w:rPr>
      <w:rFonts w:ascii="Arial" w:eastAsia="Calibri" w:hAnsi="Arial" w:cs="Calibri"/>
      <w:lang w:val="en-AU" w:eastAsia="en-GB"/>
    </w:rPr>
  </w:style>
  <w:style w:type="paragraph" w:styleId="BodyTextIndent2">
    <w:name w:val="Body Text Indent 2"/>
    <w:basedOn w:val="Normal"/>
    <w:link w:val="BodyTextIndent2Char"/>
    <w:uiPriority w:val="99"/>
    <w:semiHidden/>
    <w:unhideWhenUsed/>
    <w:rsid w:val="008B43F1"/>
    <w:pPr>
      <w:spacing w:after="120" w:line="480" w:lineRule="auto"/>
      <w:ind w:left="283"/>
    </w:pPr>
  </w:style>
  <w:style w:type="character" w:customStyle="1" w:styleId="BodyTextIndent2Char">
    <w:name w:val="Body Text Indent 2 Char"/>
    <w:basedOn w:val="DefaultParagraphFont"/>
    <w:link w:val="BodyTextIndent2"/>
    <w:uiPriority w:val="99"/>
    <w:semiHidden/>
    <w:rsid w:val="008B43F1"/>
    <w:rPr>
      <w:rFonts w:ascii="Arial" w:eastAsia="Calibri" w:hAnsi="Arial" w:cs="Calibri"/>
      <w:lang w:val="en-AU" w:eastAsia="en-GB"/>
    </w:rPr>
  </w:style>
  <w:style w:type="paragraph" w:styleId="BodyTextIndent3">
    <w:name w:val="Body Text Indent 3"/>
    <w:basedOn w:val="Normal"/>
    <w:link w:val="BodyTextIndent3Char"/>
    <w:uiPriority w:val="99"/>
    <w:semiHidden/>
    <w:unhideWhenUsed/>
    <w:rsid w:val="008B43F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43F1"/>
    <w:rPr>
      <w:rFonts w:ascii="Arial" w:eastAsia="Calibri" w:hAnsi="Arial" w:cs="Calibri"/>
      <w:sz w:val="16"/>
      <w:szCs w:val="16"/>
      <w:lang w:val="en-AU" w:eastAsia="en-GB"/>
    </w:rPr>
  </w:style>
  <w:style w:type="paragraph" w:styleId="Closing">
    <w:name w:val="Closing"/>
    <w:basedOn w:val="Normal"/>
    <w:link w:val="ClosingChar"/>
    <w:uiPriority w:val="99"/>
    <w:semiHidden/>
    <w:unhideWhenUsed/>
    <w:rsid w:val="008B43F1"/>
    <w:pPr>
      <w:ind w:left="4252"/>
    </w:pPr>
  </w:style>
  <w:style w:type="character" w:customStyle="1" w:styleId="ClosingChar">
    <w:name w:val="Closing Char"/>
    <w:basedOn w:val="DefaultParagraphFont"/>
    <w:link w:val="Closing"/>
    <w:uiPriority w:val="99"/>
    <w:semiHidden/>
    <w:rsid w:val="008B43F1"/>
    <w:rPr>
      <w:rFonts w:ascii="Arial" w:eastAsia="Calibri" w:hAnsi="Arial" w:cs="Calibri"/>
      <w:lang w:val="en-AU" w:eastAsia="en-GB"/>
    </w:rPr>
  </w:style>
  <w:style w:type="paragraph" w:styleId="Date">
    <w:name w:val="Date"/>
    <w:basedOn w:val="Normal"/>
    <w:next w:val="Normal"/>
    <w:link w:val="DateChar"/>
    <w:uiPriority w:val="99"/>
    <w:semiHidden/>
    <w:unhideWhenUsed/>
    <w:rsid w:val="008B43F1"/>
  </w:style>
  <w:style w:type="character" w:customStyle="1" w:styleId="DateChar">
    <w:name w:val="Date Char"/>
    <w:basedOn w:val="DefaultParagraphFont"/>
    <w:link w:val="Date"/>
    <w:uiPriority w:val="99"/>
    <w:semiHidden/>
    <w:rsid w:val="008B43F1"/>
    <w:rPr>
      <w:rFonts w:ascii="Arial" w:eastAsia="Calibri" w:hAnsi="Arial" w:cs="Calibri"/>
      <w:lang w:val="en-AU" w:eastAsia="en-GB"/>
    </w:rPr>
  </w:style>
  <w:style w:type="paragraph" w:styleId="DocumentMap">
    <w:name w:val="Document Map"/>
    <w:basedOn w:val="Normal"/>
    <w:link w:val="DocumentMapChar"/>
    <w:uiPriority w:val="99"/>
    <w:semiHidden/>
    <w:unhideWhenUsed/>
    <w:rsid w:val="008B43F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B43F1"/>
    <w:rPr>
      <w:rFonts w:ascii="Segoe UI" w:eastAsia="Calibri" w:hAnsi="Segoe UI" w:cs="Segoe UI"/>
      <w:sz w:val="16"/>
      <w:szCs w:val="16"/>
      <w:lang w:val="en-AU" w:eastAsia="en-GB"/>
    </w:rPr>
  </w:style>
  <w:style w:type="paragraph" w:styleId="E-mailSignature">
    <w:name w:val="E-mail Signature"/>
    <w:basedOn w:val="Normal"/>
    <w:link w:val="E-mailSignatureChar"/>
    <w:uiPriority w:val="99"/>
    <w:semiHidden/>
    <w:unhideWhenUsed/>
    <w:rsid w:val="008B43F1"/>
  </w:style>
  <w:style w:type="character" w:customStyle="1" w:styleId="E-mailSignatureChar">
    <w:name w:val="E-mail Signature Char"/>
    <w:basedOn w:val="DefaultParagraphFont"/>
    <w:link w:val="E-mailSignature"/>
    <w:uiPriority w:val="99"/>
    <w:semiHidden/>
    <w:rsid w:val="008B43F1"/>
    <w:rPr>
      <w:rFonts w:ascii="Arial" w:eastAsia="Calibri" w:hAnsi="Arial" w:cs="Calibri"/>
      <w:lang w:val="en-AU" w:eastAsia="en-GB"/>
    </w:rPr>
  </w:style>
  <w:style w:type="paragraph" w:styleId="EnvelopeAddress">
    <w:name w:val="envelope address"/>
    <w:basedOn w:val="Normal"/>
    <w:uiPriority w:val="99"/>
    <w:semiHidden/>
    <w:unhideWhenUsed/>
    <w:rsid w:val="008B43F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B43F1"/>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B43F1"/>
    <w:rPr>
      <w:i/>
      <w:iCs/>
    </w:rPr>
  </w:style>
  <w:style w:type="character" w:customStyle="1" w:styleId="HTMLAddressChar">
    <w:name w:val="HTML Address Char"/>
    <w:basedOn w:val="DefaultParagraphFont"/>
    <w:link w:val="HTMLAddress"/>
    <w:uiPriority w:val="99"/>
    <w:semiHidden/>
    <w:rsid w:val="008B43F1"/>
    <w:rPr>
      <w:rFonts w:ascii="Arial" w:eastAsia="Calibri" w:hAnsi="Arial" w:cs="Calibri"/>
      <w:i/>
      <w:iCs/>
      <w:lang w:val="en-AU" w:eastAsia="en-GB"/>
    </w:rPr>
  </w:style>
  <w:style w:type="paragraph" w:styleId="HTMLPreformatted">
    <w:name w:val="HTML Preformatted"/>
    <w:basedOn w:val="Normal"/>
    <w:link w:val="HTMLPreformattedChar"/>
    <w:uiPriority w:val="99"/>
    <w:semiHidden/>
    <w:unhideWhenUsed/>
    <w:rsid w:val="008B43F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43F1"/>
    <w:rPr>
      <w:rFonts w:ascii="Consolas" w:eastAsia="Calibri" w:hAnsi="Consolas" w:cs="Calibri"/>
      <w:sz w:val="20"/>
      <w:szCs w:val="20"/>
      <w:lang w:val="en-AU" w:eastAsia="en-GB"/>
    </w:rPr>
  </w:style>
  <w:style w:type="paragraph" w:styleId="Index1">
    <w:name w:val="index 1"/>
    <w:basedOn w:val="Normal"/>
    <w:next w:val="Normal"/>
    <w:autoRedefine/>
    <w:uiPriority w:val="99"/>
    <w:semiHidden/>
    <w:unhideWhenUsed/>
    <w:rsid w:val="008B43F1"/>
    <w:pPr>
      <w:ind w:left="240" w:hanging="240"/>
    </w:pPr>
  </w:style>
  <w:style w:type="paragraph" w:styleId="Index2">
    <w:name w:val="index 2"/>
    <w:basedOn w:val="Normal"/>
    <w:next w:val="Normal"/>
    <w:autoRedefine/>
    <w:uiPriority w:val="99"/>
    <w:semiHidden/>
    <w:unhideWhenUsed/>
    <w:rsid w:val="008B43F1"/>
    <w:pPr>
      <w:ind w:left="480" w:hanging="240"/>
    </w:pPr>
  </w:style>
  <w:style w:type="paragraph" w:styleId="Index3">
    <w:name w:val="index 3"/>
    <w:basedOn w:val="Normal"/>
    <w:next w:val="Normal"/>
    <w:autoRedefine/>
    <w:uiPriority w:val="99"/>
    <w:semiHidden/>
    <w:unhideWhenUsed/>
    <w:rsid w:val="008B43F1"/>
    <w:pPr>
      <w:ind w:left="720" w:hanging="240"/>
    </w:pPr>
  </w:style>
  <w:style w:type="paragraph" w:styleId="Index4">
    <w:name w:val="index 4"/>
    <w:basedOn w:val="Normal"/>
    <w:next w:val="Normal"/>
    <w:autoRedefine/>
    <w:uiPriority w:val="99"/>
    <w:semiHidden/>
    <w:unhideWhenUsed/>
    <w:rsid w:val="008B43F1"/>
    <w:pPr>
      <w:ind w:left="960" w:hanging="240"/>
    </w:pPr>
  </w:style>
  <w:style w:type="paragraph" w:styleId="Index5">
    <w:name w:val="index 5"/>
    <w:basedOn w:val="Normal"/>
    <w:next w:val="Normal"/>
    <w:autoRedefine/>
    <w:uiPriority w:val="99"/>
    <w:semiHidden/>
    <w:unhideWhenUsed/>
    <w:rsid w:val="008B43F1"/>
    <w:pPr>
      <w:ind w:left="1200" w:hanging="240"/>
    </w:pPr>
  </w:style>
  <w:style w:type="paragraph" w:styleId="Index6">
    <w:name w:val="index 6"/>
    <w:basedOn w:val="Normal"/>
    <w:next w:val="Normal"/>
    <w:autoRedefine/>
    <w:uiPriority w:val="99"/>
    <w:semiHidden/>
    <w:unhideWhenUsed/>
    <w:rsid w:val="008B43F1"/>
    <w:pPr>
      <w:ind w:left="1440" w:hanging="240"/>
    </w:pPr>
  </w:style>
  <w:style w:type="paragraph" w:styleId="Index7">
    <w:name w:val="index 7"/>
    <w:basedOn w:val="Normal"/>
    <w:next w:val="Normal"/>
    <w:autoRedefine/>
    <w:uiPriority w:val="99"/>
    <w:semiHidden/>
    <w:unhideWhenUsed/>
    <w:rsid w:val="008B43F1"/>
    <w:pPr>
      <w:ind w:left="1680" w:hanging="240"/>
    </w:pPr>
  </w:style>
  <w:style w:type="paragraph" w:styleId="Index8">
    <w:name w:val="index 8"/>
    <w:basedOn w:val="Normal"/>
    <w:next w:val="Normal"/>
    <w:autoRedefine/>
    <w:uiPriority w:val="99"/>
    <w:semiHidden/>
    <w:unhideWhenUsed/>
    <w:rsid w:val="008B43F1"/>
    <w:pPr>
      <w:ind w:left="1920" w:hanging="240"/>
    </w:pPr>
  </w:style>
  <w:style w:type="paragraph" w:styleId="Index9">
    <w:name w:val="index 9"/>
    <w:basedOn w:val="Normal"/>
    <w:next w:val="Normal"/>
    <w:autoRedefine/>
    <w:uiPriority w:val="99"/>
    <w:semiHidden/>
    <w:unhideWhenUsed/>
    <w:rsid w:val="008B43F1"/>
    <w:pPr>
      <w:ind w:left="2160" w:hanging="240"/>
    </w:pPr>
  </w:style>
  <w:style w:type="paragraph" w:styleId="IndexHeading">
    <w:name w:val="index heading"/>
    <w:basedOn w:val="Normal"/>
    <w:next w:val="Index1"/>
    <w:uiPriority w:val="99"/>
    <w:semiHidden/>
    <w:unhideWhenUsed/>
    <w:rsid w:val="008B43F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B43F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43F1"/>
    <w:rPr>
      <w:rFonts w:ascii="Arial" w:eastAsia="Calibri" w:hAnsi="Arial" w:cs="Calibri"/>
      <w:i/>
      <w:iCs/>
      <w:color w:val="4472C4" w:themeColor="accent1"/>
      <w:lang w:val="en-AU" w:eastAsia="en-GB"/>
    </w:rPr>
  </w:style>
  <w:style w:type="paragraph" w:styleId="List">
    <w:name w:val="List"/>
    <w:basedOn w:val="Normal"/>
    <w:uiPriority w:val="99"/>
    <w:semiHidden/>
    <w:unhideWhenUsed/>
    <w:rsid w:val="008B43F1"/>
    <w:pPr>
      <w:ind w:left="283" w:hanging="283"/>
      <w:contextualSpacing/>
    </w:pPr>
  </w:style>
  <w:style w:type="paragraph" w:styleId="List2">
    <w:name w:val="List 2"/>
    <w:basedOn w:val="Normal"/>
    <w:uiPriority w:val="99"/>
    <w:semiHidden/>
    <w:unhideWhenUsed/>
    <w:rsid w:val="008B43F1"/>
    <w:pPr>
      <w:ind w:left="566" w:hanging="283"/>
      <w:contextualSpacing/>
    </w:pPr>
  </w:style>
  <w:style w:type="paragraph" w:styleId="List3">
    <w:name w:val="List 3"/>
    <w:basedOn w:val="Normal"/>
    <w:uiPriority w:val="99"/>
    <w:semiHidden/>
    <w:unhideWhenUsed/>
    <w:rsid w:val="008B43F1"/>
    <w:pPr>
      <w:ind w:left="849" w:hanging="283"/>
      <w:contextualSpacing/>
    </w:pPr>
  </w:style>
  <w:style w:type="paragraph" w:styleId="List4">
    <w:name w:val="List 4"/>
    <w:basedOn w:val="Normal"/>
    <w:uiPriority w:val="99"/>
    <w:semiHidden/>
    <w:unhideWhenUsed/>
    <w:rsid w:val="008B43F1"/>
    <w:pPr>
      <w:ind w:left="1132" w:hanging="283"/>
      <w:contextualSpacing/>
    </w:pPr>
  </w:style>
  <w:style w:type="paragraph" w:styleId="List5">
    <w:name w:val="List 5"/>
    <w:basedOn w:val="Normal"/>
    <w:uiPriority w:val="99"/>
    <w:semiHidden/>
    <w:unhideWhenUsed/>
    <w:rsid w:val="008B43F1"/>
    <w:pPr>
      <w:ind w:left="1415" w:hanging="283"/>
      <w:contextualSpacing/>
    </w:pPr>
  </w:style>
  <w:style w:type="paragraph" w:styleId="ListBullet">
    <w:name w:val="List Bullet"/>
    <w:basedOn w:val="Normal"/>
    <w:uiPriority w:val="99"/>
    <w:semiHidden/>
    <w:unhideWhenUsed/>
    <w:rsid w:val="008B43F1"/>
    <w:pPr>
      <w:numPr>
        <w:numId w:val="34"/>
      </w:numPr>
      <w:contextualSpacing/>
    </w:pPr>
  </w:style>
  <w:style w:type="paragraph" w:styleId="ListBullet2">
    <w:name w:val="List Bullet 2"/>
    <w:basedOn w:val="Normal"/>
    <w:uiPriority w:val="99"/>
    <w:semiHidden/>
    <w:unhideWhenUsed/>
    <w:rsid w:val="008B43F1"/>
    <w:pPr>
      <w:numPr>
        <w:numId w:val="35"/>
      </w:numPr>
      <w:contextualSpacing/>
    </w:pPr>
  </w:style>
  <w:style w:type="paragraph" w:styleId="ListBullet3">
    <w:name w:val="List Bullet 3"/>
    <w:basedOn w:val="Normal"/>
    <w:uiPriority w:val="99"/>
    <w:semiHidden/>
    <w:unhideWhenUsed/>
    <w:rsid w:val="008B43F1"/>
    <w:pPr>
      <w:numPr>
        <w:numId w:val="36"/>
      </w:numPr>
      <w:contextualSpacing/>
    </w:pPr>
  </w:style>
  <w:style w:type="paragraph" w:styleId="ListBullet4">
    <w:name w:val="List Bullet 4"/>
    <w:basedOn w:val="Normal"/>
    <w:uiPriority w:val="99"/>
    <w:semiHidden/>
    <w:unhideWhenUsed/>
    <w:rsid w:val="008B43F1"/>
    <w:pPr>
      <w:numPr>
        <w:numId w:val="37"/>
      </w:numPr>
      <w:contextualSpacing/>
    </w:pPr>
  </w:style>
  <w:style w:type="paragraph" w:styleId="ListBullet5">
    <w:name w:val="List Bullet 5"/>
    <w:basedOn w:val="Normal"/>
    <w:uiPriority w:val="99"/>
    <w:semiHidden/>
    <w:unhideWhenUsed/>
    <w:rsid w:val="008B43F1"/>
    <w:pPr>
      <w:numPr>
        <w:numId w:val="38"/>
      </w:numPr>
      <w:contextualSpacing/>
    </w:pPr>
  </w:style>
  <w:style w:type="paragraph" w:styleId="ListContinue">
    <w:name w:val="List Continue"/>
    <w:basedOn w:val="Normal"/>
    <w:uiPriority w:val="99"/>
    <w:semiHidden/>
    <w:unhideWhenUsed/>
    <w:rsid w:val="008B43F1"/>
    <w:pPr>
      <w:spacing w:after="120"/>
      <w:ind w:left="283"/>
      <w:contextualSpacing/>
    </w:pPr>
  </w:style>
  <w:style w:type="paragraph" w:styleId="ListContinue2">
    <w:name w:val="List Continue 2"/>
    <w:basedOn w:val="Normal"/>
    <w:uiPriority w:val="99"/>
    <w:semiHidden/>
    <w:unhideWhenUsed/>
    <w:rsid w:val="008B43F1"/>
    <w:pPr>
      <w:spacing w:after="120"/>
      <w:ind w:left="566"/>
      <w:contextualSpacing/>
    </w:pPr>
  </w:style>
  <w:style w:type="paragraph" w:styleId="ListContinue3">
    <w:name w:val="List Continue 3"/>
    <w:basedOn w:val="Normal"/>
    <w:uiPriority w:val="99"/>
    <w:semiHidden/>
    <w:unhideWhenUsed/>
    <w:rsid w:val="008B43F1"/>
    <w:pPr>
      <w:spacing w:after="120"/>
      <w:ind w:left="849"/>
      <w:contextualSpacing/>
    </w:pPr>
  </w:style>
  <w:style w:type="paragraph" w:styleId="ListContinue4">
    <w:name w:val="List Continue 4"/>
    <w:basedOn w:val="Normal"/>
    <w:uiPriority w:val="99"/>
    <w:semiHidden/>
    <w:unhideWhenUsed/>
    <w:rsid w:val="008B43F1"/>
    <w:pPr>
      <w:spacing w:after="120"/>
      <w:ind w:left="1132"/>
      <w:contextualSpacing/>
    </w:pPr>
  </w:style>
  <w:style w:type="paragraph" w:styleId="ListContinue5">
    <w:name w:val="List Continue 5"/>
    <w:basedOn w:val="Normal"/>
    <w:uiPriority w:val="99"/>
    <w:semiHidden/>
    <w:unhideWhenUsed/>
    <w:rsid w:val="008B43F1"/>
    <w:pPr>
      <w:spacing w:after="120"/>
      <w:ind w:left="1415"/>
      <w:contextualSpacing/>
    </w:pPr>
  </w:style>
  <w:style w:type="paragraph" w:styleId="ListNumber">
    <w:name w:val="List Number"/>
    <w:basedOn w:val="Normal"/>
    <w:uiPriority w:val="99"/>
    <w:semiHidden/>
    <w:unhideWhenUsed/>
    <w:rsid w:val="008B43F1"/>
    <w:pPr>
      <w:numPr>
        <w:numId w:val="39"/>
      </w:numPr>
      <w:contextualSpacing/>
    </w:pPr>
  </w:style>
  <w:style w:type="paragraph" w:styleId="ListNumber2">
    <w:name w:val="List Number 2"/>
    <w:basedOn w:val="Normal"/>
    <w:uiPriority w:val="99"/>
    <w:semiHidden/>
    <w:unhideWhenUsed/>
    <w:rsid w:val="008B43F1"/>
    <w:pPr>
      <w:numPr>
        <w:numId w:val="40"/>
      </w:numPr>
      <w:contextualSpacing/>
    </w:pPr>
  </w:style>
  <w:style w:type="paragraph" w:styleId="ListNumber3">
    <w:name w:val="List Number 3"/>
    <w:basedOn w:val="Normal"/>
    <w:uiPriority w:val="99"/>
    <w:semiHidden/>
    <w:unhideWhenUsed/>
    <w:rsid w:val="008B43F1"/>
    <w:pPr>
      <w:numPr>
        <w:numId w:val="41"/>
      </w:numPr>
      <w:contextualSpacing/>
    </w:pPr>
  </w:style>
  <w:style w:type="paragraph" w:styleId="ListNumber4">
    <w:name w:val="List Number 4"/>
    <w:basedOn w:val="Normal"/>
    <w:uiPriority w:val="99"/>
    <w:semiHidden/>
    <w:unhideWhenUsed/>
    <w:rsid w:val="008B43F1"/>
    <w:pPr>
      <w:numPr>
        <w:numId w:val="42"/>
      </w:numPr>
      <w:contextualSpacing/>
    </w:pPr>
  </w:style>
  <w:style w:type="paragraph" w:styleId="ListNumber5">
    <w:name w:val="List Number 5"/>
    <w:basedOn w:val="Normal"/>
    <w:uiPriority w:val="99"/>
    <w:semiHidden/>
    <w:unhideWhenUsed/>
    <w:rsid w:val="008B43F1"/>
    <w:pPr>
      <w:numPr>
        <w:numId w:val="43"/>
      </w:numPr>
      <w:contextualSpacing/>
    </w:pPr>
  </w:style>
  <w:style w:type="paragraph" w:styleId="MacroText">
    <w:name w:val="macro"/>
    <w:link w:val="MacroTextChar"/>
    <w:uiPriority w:val="99"/>
    <w:semiHidden/>
    <w:unhideWhenUsed/>
    <w:rsid w:val="008B43F1"/>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alibri"/>
      <w:sz w:val="20"/>
      <w:szCs w:val="20"/>
      <w:lang w:val="en-AU" w:eastAsia="en-GB"/>
    </w:rPr>
  </w:style>
  <w:style w:type="character" w:customStyle="1" w:styleId="MacroTextChar">
    <w:name w:val="Macro Text Char"/>
    <w:basedOn w:val="DefaultParagraphFont"/>
    <w:link w:val="MacroText"/>
    <w:uiPriority w:val="99"/>
    <w:semiHidden/>
    <w:rsid w:val="008B43F1"/>
    <w:rPr>
      <w:rFonts w:ascii="Consolas" w:eastAsia="Calibri" w:hAnsi="Consolas" w:cs="Calibri"/>
      <w:sz w:val="20"/>
      <w:szCs w:val="20"/>
      <w:lang w:val="en-AU" w:eastAsia="en-GB"/>
    </w:rPr>
  </w:style>
  <w:style w:type="paragraph" w:styleId="MessageHeader">
    <w:name w:val="Message Header"/>
    <w:basedOn w:val="Normal"/>
    <w:link w:val="MessageHeaderChar"/>
    <w:uiPriority w:val="99"/>
    <w:semiHidden/>
    <w:unhideWhenUsed/>
    <w:rsid w:val="008B43F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B43F1"/>
    <w:rPr>
      <w:rFonts w:asciiTheme="majorHAnsi" w:eastAsiaTheme="majorEastAsia" w:hAnsiTheme="majorHAnsi" w:cstheme="majorBidi"/>
      <w:shd w:val="pct20" w:color="auto" w:fill="auto"/>
      <w:lang w:val="en-AU" w:eastAsia="en-GB"/>
    </w:rPr>
  </w:style>
  <w:style w:type="paragraph" w:styleId="NoSpacing">
    <w:name w:val="No Spacing"/>
    <w:uiPriority w:val="1"/>
    <w:qFormat/>
    <w:rsid w:val="008B43F1"/>
    <w:rPr>
      <w:rFonts w:ascii="Arial" w:eastAsia="Calibri" w:hAnsi="Arial" w:cs="Calibri"/>
      <w:lang w:val="en-AU" w:eastAsia="en-GB"/>
    </w:rPr>
  </w:style>
  <w:style w:type="paragraph" w:styleId="NormalIndent">
    <w:name w:val="Normal Indent"/>
    <w:basedOn w:val="Normal"/>
    <w:uiPriority w:val="99"/>
    <w:semiHidden/>
    <w:unhideWhenUsed/>
    <w:rsid w:val="008B43F1"/>
    <w:pPr>
      <w:ind w:left="720"/>
    </w:pPr>
  </w:style>
  <w:style w:type="paragraph" w:styleId="NoteHeading">
    <w:name w:val="Note Heading"/>
    <w:basedOn w:val="Normal"/>
    <w:next w:val="Normal"/>
    <w:link w:val="NoteHeadingChar"/>
    <w:uiPriority w:val="99"/>
    <w:semiHidden/>
    <w:unhideWhenUsed/>
    <w:rsid w:val="008B43F1"/>
  </w:style>
  <w:style w:type="character" w:customStyle="1" w:styleId="NoteHeadingChar">
    <w:name w:val="Note Heading Char"/>
    <w:basedOn w:val="DefaultParagraphFont"/>
    <w:link w:val="NoteHeading"/>
    <w:uiPriority w:val="99"/>
    <w:semiHidden/>
    <w:rsid w:val="008B43F1"/>
    <w:rPr>
      <w:rFonts w:ascii="Arial" w:eastAsia="Calibri" w:hAnsi="Arial" w:cs="Calibri"/>
      <w:lang w:val="en-AU" w:eastAsia="en-GB"/>
    </w:rPr>
  </w:style>
  <w:style w:type="paragraph" w:styleId="Quote">
    <w:name w:val="Quote"/>
    <w:basedOn w:val="Normal"/>
    <w:next w:val="Normal"/>
    <w:link w:val="QuoteChar"/>
    <w:uiPriority w:val="29"/>
    <w:qFormat/>
    <w:rsid w:val="008B43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43F1"/>
    <w:rPr>
      <w:rFonts w:ascii="Arial" w:eastAsia="Calibri" w:hAnsi="Arial" w:cs="Calibri"/>
      <w:i/>
      <w:iCs/>
      <w:color w:val="404040" w:themeColor="text1" w:themeTint="BF"/>
      <w:lang w:val="en-AU" w:eastAsia="en-GB"/>
    </w:rPr>
  </w:style>
  <w:style w:type="paragraph" w:styleId="Salutation">
    <w:name w:val="Salutation"/>
    <w:basedOn w:val="Normal"/>
    <w:next w:val="Normal"/>
    <w:link w:val="SalutationChar"/>
    <w:uiPriority w:val="99"/>
    <w:semiHidden/>
    <w:unhideWhenUsed/>
    <w:rsid w:val="008B43F1"/>
  </w:style>
  <w:style w:type="character" w:customStyle="1" w:styleId="SalutationChar">
    <w:name w:val="Salutation Char"/>
    <w:basedOn w:val="DefaultParagraphFont"/>
    <w:link w:val="Salutation"/>
    <w:uiPriority w:val="99"/>
    <w:semiHidden/>
    <w:rsid w:val="008B43F1"/>
    <w:rPr>
      <w:rFonts w:ascii="Arial" w:eastAsia="Calibri" w:hAnsi="Arial" w:cs="Calibri"/>
      <w:lang w:val="en-AU" w:eastAsia="en-GB"/>
    </w:rPr>
  </w:style>
  <w:style w:type="paragraph" w:styleId="Signature">
    <w:name w:val="Signature"/>
    <w:basedOn w:val="Normal"/>
    <w:link w:val="SignatureChar"/>
    <w:uiPriority w:val="99"/>
    <w:semiHidden/>
    <w:unhideWhenUsed/>
    <w:rsid w:val="008B43F1"/>
    <w:pPr>
      <w:ind w:left="4252"/>
    </w:pPr>
  </w:style>
  <w:style w:type="character" w:customStyle="1" w:styleId="SignatureChar">
    <w:name w:val="Signature Char"/>
    <w:basedOn w:val="DefaultParagraphFont"/>
    <w:link w:val="Signature"/>
    <w:uiPriority w:val="99"/>
    <w:semiHidden/>
    <w:rsid w:val="008B43F1"/>
    <w:rPr>
      <w:rFonts w:ascii="Arial" w:eastAsia="Calibri" w:hAnsi="Arial" w:cs="Calibri"/>
      <w:lang w:val="en-AU" w:eastAsia="en-GB"/>
    </w:rPr>
  </w:style>
  <w:style w:type="paragraph" w:styleId="Subtitle">
    <w:name w:val="Subtitle"/>
    <w:basedOn w:val="Normal"/>
    <w:next w:val="Normal"/>
    <w:link w:val="SubtitleChar"/>
    <w:uiPriority w:val="11"/>
    <w:qFormat/>
    <w:rsid w:val="008B43F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B43F1"/>
    <w:rPr>
      <w:rFonts w:eastAsiaTheme="minorEastAsia"/>
      <w:color w:val="5A5A5A" w:themeColor="text1" w:themeTint="A5"/>
      <w:spacing w:val="15"/>
      <w:sz w:val="22"/>
      <w:szCs w:val="22"/>
      <w:lang w:val="en-AU" w:eastAsia="en-GB"/>
    </w:rPr>
  </w:style>
  <w:style w:type="paragraph" w:styleId="TableofAuthorities">
    <w:name w:val="table of authorities"/>
    <w:basedOn w:val="Normal"/>
    <w:next w:val="Normal"/>
    <w:uiPriority w:val="99"/>
    <w:semiHidden/>
    <w:unhideWhenUsed/>
    <w:rsid w:val="008B43F1"/>
    <w:pPr>
      <w:ind w:left="240" w:hanging="240"/>
    </w:pPr>
  </w:style>
  <w:style w:type="paragraph" w:styleId="TableofFigures">
    <w:name w:val="table of figures"/>
    <w:basedOn w:val="Normal"/>
    <w:next w:val="Normal"/>
    <w:uiPriority w:val="99"/>
    <w:semiHidden/>
    <w:unhideWhenUsed/>
    <w:rsid w:val="008B43F1"/>
  </w:style>
  <w:style w:type="paragraph" w:styleId="Title">
    <w:name w:val="Title"/>
    <w:basedOn w:val="Normal"/>
    <w:next w:val="Normal"/>
    <w:link w:val="TitleChar"/>
    <w:uiPriority w:val="10"/>
    <w:qFormat/>
    <w:rsid w:val="008B43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3F1"/>
    <w:rPr>
      <w:rFonts w:asciiTheme="majorHAnsi" w:eastAsiaTheme="majorEastAsia" w:hAnsiTheme="majorHAnsi" w:cstheme="majorBidi"/>
      <w:spacing w:val="-10"/>
      <w:kern w:val="28"/>
      <w:sz w:val="56"/>
      <w:szCs w:val="56"/>
      <w:lang w:val="en-AU" w:eastAsia="en-GB"/>
    </w:rPr>
  </w:style>
  <w:style w:type="paragraph" w:styleId="TOAHeading">
    <w:name w:val="toa heading"/>
    <w:basedOn w:val="Normal"/>
    <w:next w:val="Normal"/>
    <w:uiPriority w:val="99"/>
    <w:semiHidden/>
    <w:unhideWhenUsed/>
    <w:rsid w:val="008B43F1"/>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1915">
      <w:bodyDiv w:val="1"/>
      <w:marLeft w:val="0"/>
      <w:marRight w:val="0"/>
      <w:marTop w:val="0"/>
      <w:marBottom w:val="0"/>
      <w:divBdr>
        <w:top w:val="none" w:sz="0" w:space="0" w:color="auto"/>
        <w:left w:val="none" w:sz="0" w:space="0" w:color="auto"/>
        <w:bottom w:val="none" w:sz="0" w:space="0" w:color="auto"/>
        <w:right w:val="none" w:sz="0" w:space="0" w:color="auto"/>
      </w:divBdr>
    </w:div>
    <w:div w:id="34278703">
      <w:bodyDiv w:val="1"/>
      <w:marLeft w:val="0"/>
      <w:marRight w:val="0"/>
      <w:marTop w:val="0"/>
      <w:marBottom w:val="0"/>
      <w:divBdr>
        <w:top w:val="none" w:sz="0" w:space="0" w:color="auto"/>
        <w:left w:val="none" w:sz="0" w:space="0" w:color="auto"/>
        <w:bottom w:val="none" w:sz="0" w:space="0" w:color="auto"/>
        <w:right w:val="none" w:sz="0" w:space="0" w:color="auto"/>
      </w:divBdr>
      <w:divsChild>
        <w:div w:id="59905085">
          <w:marLeft w:val="0"/>
          <w:marRight w:val="0"/>
          <w:marTop w:val="0"/>
          <w:marBottom w:val="0"/>
          <w:divBdr>
            <w:top w:val="none" w:sz="0" w:space="0" w:color="auto"/>
            <w:left w:val="none" w:sz="0" w:space="0" w:color="auto"/>
            <w:bottom w:val="none" w:sz="0" w:space="0" w:color="auto"/>
            <w:right w:val="none" w:sz="0" w:space="0" w:color="auto"/>
          </w:divBdr>
          <w:divsChild>
            <w:div w:id="187137840">
              <w:marLeft w:val="0"/>
              <w:marRight w:val="0"/>
              <w:marTop w:val="0"/>
              <w:marBottom w:val="0"/>
              <w:divBdr>
                <w:top w:val="none" w:sz="0" w:space="0" w:color="auto"/>
                <w:left w:val="none" w:sz="0" w:space="0" w:color="auto"/>
                <w:bottom w:val="none" w:sz="0" w:space="0" w:color="auto"/>
                <w:right w:val="none" w:sz="0" w:space="0" w:color="auto"/>
              </w:divBdr>
              <w:divsChild>
                <w:div w:id="196472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3764">
      <w:bodyDiv w:val="1"/>
      <w:marLeft w:val="0"/>
      <w:marRight w:val="0"/>
      <w:marTop w:val="0"/>
      <w:marBottom w:val="0"/>
      <w:divBdr>
        <w:top w:val="none" w:sz="0" w:space="0" w:color="auto"/>
        <w:left w:val="none" w:sz="0" w:space="0" w:color="auto"/>
        <w:bottom w:val="none" w:sz="0" w:space="0" w:color="auto"/>
        <w:right w:val="none" w:sz="0" w:space="0" w:color="auto"/>
      </w:divBdr>
    </w:div>
    <w:div w:id="78017456">
      <w:bodyDiv w:val="1"/>
      <w:marLeft w:val="0"/>
      <w:marRight w:val="0"/>
      <w:marTop w:val="0"/>
      <w:marBottom w:val="0"/>
      <w:divBdr>
        <w:top w:val="none" w:sz="0" w:space="0" w:color="auto"/>
        <w:left w:val="none" w:sz="0" w:space="0" w:color="auto"/>
        <w:bottom w:val="none" w:sz="0" w:space="0" w:color="auto"/>
        <w:right w:val="none" w:sz="0" w:space="0" w:color="auto"/>
      </w:divBdr>
    </w:div>
    <w:div w:id="85154366">
      <w:bodyDiv w:val="1"/>
      <w:marLeft w:val="0"/>
      <w:marRight w:val="0"/>
      <w:marTop w:val="0"/>
      <w:marBottom w:val="0"/>
      <w:divBdr>
        <w:top w:val="none" w:sz="0" w:space="0" w:color="auto"/>
        <w:left w:val="none" w:sz="0" w:space="0" w:color="auto"/>
        <w:bottom w:val="none" w:sz="0" w:space="0" w:color="auto"/>
        <w:right w:val="none" w:sz="0" w:space="0" w:color="auto"/>
      </w:divBdr>
    </w:div>
    <w:div w:id="94981071">
      <w:bodyDiv w:val="1"/>
      <w:marLeft w:val="0"/>
      <w:marRight w:val="0"/>
      <w:marTop w:val="0"/>
      <w:marBottom w:val="0"/>
      <w:divBdr>
        <w:top w:val="none" w:sz="0" w:space="0" w:color="auto"/>
        <w:left w:val="none" w:sz="0" w:space="0" w:color="auto"/>
        <w:bottom w:val="none" w:sz="0" w:space="0" w:color="auto"/>
        <w:right w:val="none" w:sz="0" w:space="0" w:color="auto"/>
      </w:divBdr>
    </w:div>
    <w:div w:id="101654480">
      <w:bodyDiv w:val="1"/>
      <w:marLeft w:val="0"/>
      <w:marRight w:val="0"/>
      <w:marTop w:val="0"/>
      <w:marBottom w:val="0"/>
      <w:divBdr>
        <w:top w:val="none" w:sz="0" w:space="0" w:color="auto"/>
        <w:left w:val="none" w:sz="0" w:space="0" w:color="auto"/>
        <w:bottom w:val="none" w:sz="0" w:space="0" w:color="auto"/>
        <w:right w:val="none" w:sz="0" w:space="0" w:color="auto"/>
      </w:divBdr>
      <w:divsChild>
        <w:div w:id="1026832134">
          <w:marLeft w:val="0"/>
          <w:marRight w:val="0"/>
          <w:marTop w:val="0"/>
          <w:marBottom w:val="0"/>
          <w:divBdr>
            <w:top w:val="none" w:sz="0" w:space="0" w:color="auto"/>
            <w:left w:val="none" w:sz="0" w:space="0" w:color="auto"/>
            <w:bottom w:val="none" w:sz="0" w:space="0" w:color="auto"/>
            <w:right w:val="none" w:sz="0" w:space="0" w:color="auto"/>
          </w:divBdr>
          <w:divsChild>
            <w:div w:id="1738362720">
              <w:marLeft w:val="0"/>
              <w:marRight w:val="0"/>
              <w:marTop w:val="0"/>
              <w:marBottom w:val="0"/>
              <w:divBdr>
                <w:top w:val="none" w:sz="0" w:space="0" w:color="auto"/>
                <w:left w:val="none" w:sz="0" w:space="0" w:color="auto"/>
                <w:bottom w:val="none" w:sz="0" w:space="0" w:color="auto"/>
                <w:right w:val="none" w:sz="0" w:space="0" w:color="auto"/>
              </w:divBdr>
              <w:divsChild>
                <w:div w:id="2398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3498">
      <w:bodyDiv w:val="1"/>
      <w:marLeft w:val="0"/>
      <w:marRight w:val="0"/>
      <w:marTop w:val="0"/>
      <w:marBottom w:val="0"/>
      <w:divBdr>
        <w:top w:val="none" w:sz="0" w:space="0" w:color="auto"/>
        <w:left w:val="none" w:sz="0" w:space="0" w:color="auto"/>
        <w:bottom w:val="none" w:sz="0" w:space="0" w:color="auto"/>
        <w:right w:val="none" w:sz="0" w:space="0" w:color="auto"/>
      </w:divBdr>
    </w:div>
    <w:div w:id="103841142">
      <w:bodyDiv w:val="1"/>
      <w:marLeft w:val="0"/>
      <w:marRight w:val="0"/>
      <w:marTop w:val="0"/>
      <w:marBottom w:val="0"/>
      <w:divBdr>
        <w:top w:val="none" w:sz="0" w:space="0" w:color="auto"/>
        <w:left w:val="none" w:sz="0" w:space="0" w:color="auto"/>
        <w:bottom w:val="none" w:sz="0" w:space="0" w:color="auto"/>
        <w:right w:val="none" w:sz="0" w:space="0" w:color="auto"/>
      </w:divBdr>
      <w:divsChild>
        <w:div w:id="1635210840">
          <w:marLeft w:val="0"/>
          <w:marRight w:val="0"/>
          <w:marTop w:val="0"/>
          <w:marBottom w:val="0"/>
          <w:divBdr>
            <w:top w:val="none" w:sz="0" w:space="0" w:color="auto"/>
            <w:left w:val="none" w:sz="0" w:space="0" w:color="auto"/>
            <w:bottom w:val="none" w:sz="0" w:space="0" w:color="auto"/>
            <w:right w:val="none" w:sz="0" w:space="0" w:color="auto"/>
          </w:divBdr>
          <w:divsChild>
            <w:div w:id="1076785613">
              <w:marLeft w:val="0"/>
              <w:marRight w:val="0"/>
              <w:marTop w:val="0"/>
              <w:marBottom w:val="0"/>
              <w:divBdr>
                <w:top w:val="none" w:sz="0" w:space="0" w:color="auto"/>
                <w:left w:val="none" w:sz="0" w:space="0" w:color="auto"/>
                <w:bottom w:val="none" w:sz="0" w:space="0" w:color="auto"/>
                <w:right w:val="none" w:sz="0" w:space="0" w:color="auto"/>
              </w:divBdr>
              <w:divsChild>
                <w:div w:id="1319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1098">
      <w:bodyDiv w:val="1"/>
      <w:marLeft w:val="0"/>
      <w:marRight w:val="0"/>
      <w:marTop w:val="0"/>
      <w:marBottom w:val="0"/>
      <w:divBdr>
        <w:top w:val="none" w:sz="0" w:space="0" w:color="auto"/>
        <w:left w:val="none" w:sz="0" w:space="0" w:color="auto"/>
        <w:bottom w:val="none" w:sz="0" w:space="0" w:color="auto"/>
        <w:right w:val="none" w:sz="0" w:space="0" w:color="auto"/>
      </w:divBdr>
    </w:div>
    <w:div w:id="152183428">
      <w:bodyDiv w:val="1"/>
      <w:marLeft w:val="0"/>
      <w:marRight w:val="0"/>
      <w:marTop w:val="0"/>
      <w:marBottom w:val="0"/>
      <w:divBdr>
        <w:top w:val="none" w:sz="0" w:space="0" w:color="auto"/>
        <w:left w:val="none" w:sz="0" w:space="0" w:color="auto"/>
        <w:bottom w:val="none" w:sz="0" w:space="0" w:color="auto"/>
        <w:right w:val="none" w:sz="0" w:space="0" w:color="auto"/>
      </w:divBdr>
    </w:div>
    <w:div w:id="157886006">
      <w:bodyDiv w:val="1"/>
      <w:marLeft w:val="0"/>
      <w:marRight w:val="0"/>
      <w:marTop w:val="0"/>
      <w:marBottom w:val="0"/>
      <w:divBdr>
        <w:top w:val="none" w:sz="0" w:space="0" w:color="auto"/>
        <w:left w:val="none" w:sz="0" w:space="0" w:color="auto"/>
        <w:bottom w:val="none" w:sz="0" w:space="0" w:color="auto"/>
        <w:right w:val="none" w:sz="0" w:space="0" w:color="auto"/>
      </w:divBdr>
    </w:div>
    <w:div w:id="166792915">
      <w:bodyDiv w:val="1"/>
      <w:marLeft w:val="0"/>
      <w:marRight w:val="0"/>
      <w:marTop w:val="0"/>
      <w:marBottom w:val="0"/>
      <w:divBdr>
        <w:top w:val="none" w:sz="0" w:space="0" w:color="auto"/>
        <w:left w:val="none" w:sz="0" w:space="0" w:color="auto"/>
        <w:bottom w:val="none" w:sz="0" w:space="0" w:color="auto"/>
        <w:right w:val="none" w:sz="0" w:space="0" w:color="auto"/>
      </w:divBdr>
    </w:div>
    <w:div w:id="166874003">
      <w:bodyDiv w:val="1"/>
      <w:marLeft w:val="0"/>
      <w:marRight w:val="0"/>
      <w:marTop w:val="0"/>
      <w:marBottom w:val="0"/>
      <w:divBdr>
        <w:top w:val="none" w:sz="0" w:space="0" w:color="auto"/>
        <w:left w:val="none" w:sz="0" w:space="0" w:color="auto"/>
        <w:bottom w:val="none" w:sz="0" w:space="0" w:color="auto"/>
        <w:right w:val="none" w:sz="0" w:space="0" w:color="auto"/>
      </w:divBdr>
    </w:div>
    <w:div w:id="172308085">
      <w:bodyDiv w:val="1"/>
      <w:marLeft w:val="0"/>
      <w:marRight w:val="0"/>
      <w:marTop w:val="0"/>
      <w:marBottom w:val="0"/>
      <w:divBdr>
        <w:top w:val="none" w:sz="0" w:space="0" w:color="auto"/>
        <w:left w:val="none" w:sz="0" w:space="0" w:color="auto"/>
        <w:bottom w:val="none" w:sz="0" w:space="0" w:color="auto"/>
        <w:right w:val="none" w:sz="0" w:space="0" w:color="auto"/>
      </w:divBdr>
      <w:divsChild>
        <w:div w:id="1981687000">
          <w:marLeft w:val="0"/>
          <w:marRight w:val="0"/>
          <w:marTop w:val="0"/>
          <w:marBottom w:val="0"/>
          <w:divBdr>
            <w:top w:val="none" w:sz="0" w:space="0" w:color="auto"/>
            <w:left w:val="none" w:sz="0" w:space="0" w:color="auto"/>
            <w:bottom w:val="none" w:sz="0" w:space="0" w:color="auto"/>
            <w:right w:val="none" w:sz="0" w:space="0" w:color="auto"/>
          </w:divBdr>
          <w:divsChild>
            <w:div w:id="1348484140">
              <w:marLeft w:val="0"/>
              <w:marRight w:val="0"/>
              <w:marTop w:val="0"/>
              <w:marBottom w:val="0"/>
              <w:divBdr>
                <w:top w:val="none" w:sz="0" w:space="0" w:color="auto"/>
                <w:left w:val="none" w:sz="0" w:space="0" w:color="auto"/>
                <w:bottom w:val="none" w:sz="0" w:space="0" w:color="auto"/>
                <w:right w:val="none" w:sz="0" w:space="0" w:color="auto"/>
              </w:divBdr>
              <w:divsChild>
                <w:div w:id="20513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3481">
      <w:bodyDiv w:val="1"/>
      <w:marLeft w:val="0"/>
      <w:marRight w:val="0"/>
      <w:marTop w:val="0"/>
      <w:marBottom w:val="0"/>
      <w:divBdr>
        <w:top w:val="none" w:sz="0" w:space="0" w:color="auto"/>
        <w:left w:val="none" w:sz="0" w:space="0" w:color="auto"/>
        <w:bottom w:val="none" w:sz="0" w:space="0" w:color="auto"/>
        <w:right w:val="none" w:sz="0" w:space="0" w:color="auto"/>
      </w:divBdr>
    </w:div>
    <w:div w:id="199704175">
      <w:bodyDiv w:val="1"/>
      <w:marLeft w:val="0"/>
      <w:marRight w:val="0"/>
      <w:marTop w:val="0"/>
      <w:marBottom w:val="0"/>
      <w:divBdr>
        <w:top w:val="none" w:sz="0" w:space="0" w:color="auto"/>
        <w:left w:val="none" w:sz="0" w:space="0" w:color="auto"/>
        <w:bottom w:val="none" w:sz="0" w:space="0" w:color="auto"/>
        <w:right w:val="none" w:sz="0" w:space="0" w:color="auto"/>
      </w:divBdr>
    </w:div>
    <w:div w:id="249437607">
      <w:bodyDiv w:val="1"/>
      <w:marLeft w:val="0"/>
      <w:marRight w:val="0"/>
      <w:marTop w:val="0"/>
      <w:marBottom w:val="0"/>
      <w:divBdr>
        <w:top w:val="none" w:sz="0" w:space="0" w:color="auto"/>
        <w:left w:val="none" w:sz="0" w:space="0" w:color="auto"/>
        <w:bottom w:val="none" w:sz="0" w:space="0" w:color="auto"/>
        <w:right w:val="none" w:sz="0" w:space="0" w:color="auto"/>
      </w:divBdr>
      <w:divsChild>
        <w:div w:id="1087078076">
          <w:marLeft w:val="0"/>
          <w:marRight w:val="0"/>
          <w:marTop w:val="0"/>
          <w:marBottom w:val="0"/>
          <w:divBdr>
            <w:top w:val="none" w:sz="0" w:space="0" w:color="auto"/>
            <w:left w:val="none" w:sz="0" w:space="0" w:color="auto"/>
            <w:bottom w:val="none" w:sz="0" w:space="0" w:color="auto"/>
            <w:right w:val="none" w:sz="0" w:space="0" w:color="auto"/>
          </w:divBdr>
          <w:divsChild>
            <w:div w:id="2038264812">
              <w:marLeft w:val="0"/>
              <w:marRight w:val="0"/>
              <w:marTop w:val="0"/>
              <w:marBottom w:val="0"/>
              <w:divBdr>
                <w:top w:val="none" w:sz="0" w:space="0" w:color="auto"/>
                <w:left w:val="none" w:sz="0" w:space="0" w:color="auto"/>
                <w:bottom w:val="none" w:sz="0" w:space="0" w:color="auto"/>
                <w:right w:val="none" w:sz="0" w:space="0" w:color="auto"/>
              </w:divBdr>
              <w:divsChild>
                <w:div w:id="1120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80845">
      <w:bodyDiv w:val="1"/>
      <w:marLeft w:val="0"/>
      <w:marRight w:val="0"/>
      <w:marTop w:val="0"/>
      <w:marBottom w:val="0"/>
      <w:divBdr>
        <w:top w:val="none" w:sz="0" w:space="0" w:color="auto"/>
        <w:left w:val="none" w:sz="0" w:space="0" w:color="auto"/>
        <w:bottom w:val="none" w:sz="0" w:space="0" w:color="auto"/>
        <w:right w:val="none" w:sz="0" w:space="0" w:color="auto"/>
      </w:divBdr>
    </w:div>
    <w:div w:id="296303479">
      <w:bodyDiv w:val="1"/>
      <w:marLeft w:val="0"/>
      <w:marRight w:val="0"/>
      <w:marTop w:val="0"/>
      <w:marBottom w:val="0"/>
      <w:divBdr>
        <w:top w:val="none" w:sz="0" w:space="0" w:color="auto"/>
        <w:left w:val="none" w:sz="0" w:space="0" w:color="auto"/>
        <w:bottom w:val="none" w:sz="0" w:space="0" w:color="auto"/>
        <w:right w:val="none" w:sz="0" w:space="0" w:color="auto"/>
      </w:divBdr>
    </w:div>
    <w:div w:id="305621360">
      <w:bodyDiv w:val="1"/>
      <w:marLeft w:val="0"/>
      <w:marRight w:val="0"/>
      <w:marTop w:val="0"/>
      <w:marBottom w:val="0"/>
      <w:divBdr>
        <w:top w:val="none" w:sz="0" w:space="0" w:color="auto"/>
        <w:left w:val="none" w:sz="0" w:space="0" w:color="auto"/>
        <w:bottom w:val="none" w:sz="0" w:space="0" w:color="auto"/>
        <w:right w:val="none" w:sz="0" w:space="0" w:color="auto"/>
      </w:divBdr>
      <w:divsChild>
        <w:div w:id="780807241">
          <w:marLeft w:val="0"/>
          <w:marRight w:val="0"/>
          <w:marTop w:val="0"/>
          <w:marBottom w:val="0"/>
          <w:divBdr>
            <w:top w:val="none" w:sz="0" w:space="0" w:color="auto"/>
            <w:left w:val="none" w:sz="0" w:space="0" w:color="auto"/>
            <w:bottom w:val="none" w:sz="0" w:space="0" w:color="auto"/>
            <w:right w:val="none" w:sz="0" w:space="0" w:color="auto"/>
          </w:divBdr>
          <w:divsChild>
            <w:div w:id="1638484992">
              <w:marLeft w:val="0"/>
              <w:marRight w:val="0"/>
              <w:marTop w:val="0"/>
              <w:marBottom w:val="0"/>
              <w:divBdr>
                <w:top w:val="none" w:sz="0" w:space="0" w:color="auto"/>
                <w:left w:val="none" w:sz="0" w:space="0" w:color="auto"/>
                <w:bottom w:val="none" w:sz="0" w:space="0" w:color="auto"/>
                <w:right w:val="none" w:sz="0" w:space="0" w:color="auto"/>
              </w:divBdr>
              <w:divsChild>
                <w:div w:id="19245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2799">
      <w:bodyDiv w:val="1"/>
      <w:marLeft w:val="0"/>
      <w:marRight w:val="0"/>
      <w:marTop w:val="0"/>
      <w:marBottom w:val="0"/>
      <w:divBdr>
        <w:top w:val="none" w:sz="0" w:space="0" w:color="auto"/>
        <w:left w:val="none" w:sz="0" w:space="0" w:color="auto"/>
        <w:bottom w:val="none" w:sz="0" w:space="0" w:color="auto"/>
        <w:right w:val="none" w:sz="0" w:space="0" w:color="auto"/>
      </w:divBdr>
    </w:div>
    <w:div w:id="311327388">
      <w:bodyDiv w:val="1"/>
      <w:marLeft w:val="0"/>
      <w:marRight w:val="0"/>
      <w:marTop w:val="0"/>
      <w:marBottom w:val="0"/>
      <w:divBdr>
        <w:top w:val="none" w:sz="0" w:space="0" w:color="auto"/>
        <w:left w:val="none" w:sz="0" w:space="0" w:color="auto"/>
        <w:bottom w:val="none" w:sz="0" w:space="0" w:color="auto"/>
        <w:right w:val="none" w:sz="0" w:space="0" w:color="auto"/>
      </w:divBdr>
    </w:div>
    <w:div w:id="329451001">
      <w:bodyDiv w:val="1"/>
      <w:marLeft w:val="0"/>
      <w:marRight w:val="0"/>
      <w:marTop w:val="0"/>
      <w:marBottom w:val="0"/>
      <w:divBdr>
        <w:top w:val="none" w:sz="0" w:space="0" w:color="auto"/>
        <w:left w:val="none" w:sz="0" w:space="0" w:color="auto"/>
        <w:bottom w:val="none" w:sz="0" w:space="0" w:color="auto"/>
        <w:right w:val="none" w:sz="0" w:space="0" w:color="auto"/>
      </w:divBdr>
      <w:divsChild>
        <w:div w:id="1491948630">
          <w:marLeft w:val="0"/>
          <w:marRight w:val="0"/>
          <w:marTop w:val="0"/>
          <w:marBottom w:val="0"/>
          <w:divBdr>
            <w:top w:val="none" w:sz="0" w:space="0" w:color="auto"/>
            <w:left w:val="none" w:sz="0" w:space="0" w:color="auto"/>
            <w:bottom w:val="none" w:sz="0" w:space="0" w:color="auto"/>
            <w:right w:val="none" w:sz="0" w:space="0" w:color="auto"/>
          </w:divBdr>
          <w:divsChild>
            <w:div w:id="1400445235">
              <w:marLeft w:val="0"/>
              <w:marRight w:val="0"/>
              <w:marTop w:val="0"/>
              <w:marBottom w:val="0"/>
              <w:divBdr>
                <w:top w:val="none" w:sz="0" w:space="0" w:color="auto"/>
                <w:left w:val="none" w:sz="0" w:space="0" w:color="auto"/>
                <w:bottom w:val="none" w:sz="0" w:space="0" w:color="auto"/>
                <w:right w:val="none" w:sz="0" w:space="0" w:color="auto"/>
              </w:divBdr>
              <w:divsChild>
                <w:div w:id="3119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19724">
      <w:bodyDiv w:val="1"/>
      <w:marLeft w:val="0"/>
      <w:marRight w:val="0"/>
      <w:marTop w:val="0"/>
      <w:marBottom w:val="0"/>
      <w:divBdr>
        <w:top w:val="none" w:sz="0" w:space="0" w:color="auto"/>
        <w:left w:val="none" w:sz="0" w:space="0" w:color="auto"/>
        <w:bottom w:val="none" w:sz="0" w:space="0" w:color="auto"/>
        <w:right w:val="none" w:sz="0" w:space="0" w:color="auto"/>
      </w:divBdr>
    </w:div>
    <w:div w:id="347483034">
      <w:bodyDiv w:val="1"/>
      <w:marLeft w:val="0"/>
      <w:marRight w:val="0"/>
      <w:marTop w:val="0"/>
      <w:marBottom w:val="0"/>
      <w:divBdr>
        <w:top w:val="none" w:sz="0" w:space="0" w:color="auto"/>
        <w:left w:val="none" w:sz="0" w:space="0" w:color="auto"/>
        <w:bottom w:val="none" w:sz="0" w:space="0" w:color="auto"/>
        <w:right w:val="none" w:sz="0" w:space="0" w:color="auto"/>
      </w:divBdr>
    </w:div>
    <w:div w:id="360858265">
      <w:bodyDiv w:val="1"/>
      <w:marLeft w:val="0"/>
      <w:marRight w:val="0"/>
      <w:marTop w:val="0"/>
      <w:marBottom w:val="0"/>
      <w:divBdr>
        <w:top w:val="none" w:sz="0" w:space="0" w:color="auto"/>
        <w:left w:val="none" w:sz="0" w:space="0" w:color="auto"/>
        <w:bottom w:val="none" w:sz="0" w:space="0" w:color="auto"/>
        <w:right w:val="none" w:sz="0" w:space="0" w:color="auto"/>
      </w:divBdr>
      <w:divsChild>
        <w:div w:id="1128471614">
          <w:marLeft w:val="0"/>
          <w:marRight w:val="0"/>
          <w:marTop w:val="0"/>
          <w:marBottom w:val="0"/>
          <w:divBdr>
            <w:top w:val="none" w:sz="0" w:space="0" w:color="auto"/>
            <w:left w:val="none" w:sz="0" w:space="0" w:color="auto"/>
            <w:bottom w:val="none" w:sz="0" w:space="0" w:color="auto"/>
            <w:right w:val="none" w:sz="0" w:space="0" w:color="auto"/>
          </w:divBdr>
          <w:divsChild>
            <w:div w:id="1806509143">
              <w:marLeft w:val="0"/>
              <w:marRight w:val="0"/>
              <w:marTop w:val="0"/>
              <w:marBottom w:val="0"/>
              <w:divBdr>
                <w:top w:val="none" w:sz="0" w:space="0" w:color="auto"/>
                <w:left w:val="none" w:sz="0" w:space="0" w:color="auto"/>
                <w:bottom w:val="none" w:sz="0" w:space="0" w:color="auto"/>
                <w:right w:val="none" w:sz="0" w:space="0" w:color="auto"/>
              </w:divBdr>
              <w:divsChild>
                <w:div w:id="6682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6621">
      <w:bodyDiv w:val="1"/>
      <w:marLeft w:val="0"/>
      <w:marRight w:val="0"/>
      <w:marTop w:val="0"/>
      <w:marBottom w:val="0"/>
      <w:divBdr>
        <w:top w:val="none" w:sz="0" w:space="0" w:color="auto"/>
        <w:left w:val="none" w:sz="0" w:space="0" w:color="auto"/>
        <w:bottom w:val="none" w:sz="0" w:space="0" w:color="auto"/>
        <w:right w:val="none" w:sz="0" w:space="0" w:color="auto"/>
      </w:divBdr>
    </w:div>
    <w:div w:id="369454551">
      <w:bodyDiv w:val="1"/>
      <w:marLeft w:val="0"/>
      <w:marRight w:val="0"/>
      <w:marTop w:val="0"/>
      <w:marBottom w:val="0"/>
      <w:divBdr>
        <w:top w:val="none" w:sz="0" w:space="0" w:color="auto"/>
        <w:left w:val="none" w:sz="0" w:space="0" w:color="auto"/>
        <w:bottom w:val="none" w:sz="0" w:space="0" w:color="auto"/>
        <w:right w:val="none" w:sz="0" w:space="0" w:color="auto"/>
      </w:divBdr>
    </w:div>
    <w:div w:id="394548335">
      <w:bodyDiv w:val="1"/>
      <w:marLeft w:val="0"/>
      <w:marRight w:val="0"/>
      <w:marTop w:val="0"/>
      <w:marBottom w:val="0"/>
      <w:divBdr>
        <w:top w:val="none" w:sz="0" w:space="0" w:color="auto"/>
        <w:left w:val="none" w:sz="0" w:space="0" w:color="auto"/>
        <w:bottom w:val="none" w:sz="0" w:space="0" w:color="auto"/>
        <w:right w:val="none" w:sz="0" w:space="0" w:color="auto"/>
      </w:divBdr>
    </w:div>
    <w:div w:id="422920091">
      <w:bodyDiv w:val="1"/>
      <w:marLeft w:val="0"/>
      <w:marRight w:val="0"/>
      <w:marTop w:val="0"/>
      <w:marBottom w:val="0"/>
      <w:divBdr>
        <w:top w:val="none" w:sz="0" w:space="0" w:color="auto"/>
        <w:left w:val="none" w:sz="0" w:space="0" w:color="auto"/>
        <w:bottom w:val="none" w:sz="0" w:space="0" w:color="auto"/>
        <w:right w:val="none" w:sz="0" w:space="0" w:color="auto"/>
      </w:divBdr>
      <w:divsChild>
        <w:div w:id="714474757">
          <w:marLeft w:val="360"/>
          <w:marRight w:val="0"/>
          <w:marTop w:val="40"/>
          <w:marBottom w:val="0"/>
          <w:divBdr>
            <w:top w:val="none" w:sz="0" w:space="0" w:color="auto"/>
            <w:left w:val="none" w:sz="0" w:space="0" w:color="auto"/>
            <w:bottom w:val="none" w:sz="0" w:space="0" w:color="auto"/>
            <w:right w:val="none" w:sz="0" w:space="0" w:color="auto"/>
          </w:divBdr>
        </w:div>
        <w:div w:id="1027869184">
          <w:marLeft w:val="360"/>
          <w:marRight w:val="0"/>
          <w:marTop w:val="200"/>
          <w:marBottom w:val="0"/>
          <w:divBdr>
            <w:top w:val="none" w:sz="0" w:space="0" w:color="auto"/>
            <w:left w:val="none" w:sz="0" w:space="0" w:color="auto"/>
            <w:bottom w:val="none" w:sz="0" w:space="0" w:color="auto"/>
            <w:right w:val="none" w:sz="0" w:space="0" w:color="auto"/>
          </w:divBdr>
        </w:div>
        <w:div w:id="1170485557">
          <w:marLeft w:val="360"/>
          <w:marRight w:val="0"/>
          <w:marTop w:val="40"/>
          <w:marBottom w:val="0"/>
          <w:divBdr>
            <w:top w:val="none" w:sz="0" w:space="0" w:color="auto"/>
            <w:left w:val="none" w:sz="0" w:space="0" w:color="auto"/>
            <w:bottom w:val="none" w:sz="0" w:space="0" w:color="auto"/>
            <w:right w:val="none" w:sz="0" w:space="0" w:color="auto"/>
          </w:divBdr>
        </w:div>
      </w:divsChild>
    </w:div>
    <w:div w:id="441656491">
      <w:bodyDiv w:val="1"/>
      <w:marLeft w:val="0"/>
      <w:marRight w:val="0"/>
      <w:marTop w:val="0"/>
      <w:marBottom w:val="0"/>
      <w:divBdr>
        <w:top w:val="none" w:sz="0" w:space="0" w:color="auto"/>
        <w:left w:val="none" w:sz="0" w:space="0" w:color="auto"/>
        <w:bottom w:val="none" w:sz="0" w:space="0" w:color="auto"/>
        <w:right w:val="none" w:sz="0" w:space="0" w:color="auto"/>
      </w:divBdr>
      <w:divsChild>
        <w:div w:id="100951308">
          <w:marLeft w:val="0"/>
          <w:marRight w:val="0"/>
          <w:marTop w:val="0"/>
          <w:marBottom w:val="0"/>
          <w:divBdr>
            <w:top w:val="none" w:sz="0" w:space="0" w:color="auto"/>
            <w:left w:val="none" w:sz="0" w:space="0" w:color="auto"/>
            <w:bottom w:val="none" w:sz="0" w:space="0" w:color="auto"/>
            <w:right w:val="none" w:sz="0" w:space="0" w:color="auto"/>
          </w:divBdr>
          <w:divsChild>
            <w:div w:id="1942301285">
              <w:marLeft w:val="0"/>
              <w:marRight w:val="0"/>
              <w:marTop w:val="0"/>
              <w:marBottom w:val="0"/>
              <w:divBdr>
                <w:top w:val="none" w:sz="0" w:space="0" w:color="auto"/>
                <w:left w:val="none" w:sz="0" w:space="0" w:color="auto"/>
                <w:bottom w:val="none" w:sz="0" w:space="0" w:color="auto"/>
                <w:right w:val="none" w:sz="0" w:space="0" w:color="auto"/>
              </w:divBdr>
              <w:divsChild>
                <w:div w:id="10221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6165">
      <w:bodyDiv w:val="1"/>
      <w:marLeft w:val="0"/>
      <w:marRight w:val="0"/>
      <w:marTop w:val="0"/>
      <w:marBottom w:val="0"/>
      <w:divBdr>
        <w:top w:val="none" w:sz="0" w:space="0" w:color="auto"/>
        <w:left w:val="none" w:sz="0" w:space="0" w:color="auto"/>
        <w:bottom w:val="none" w:sz="0" w:space="0" w:color="auto"/>
        <w:right w:val="none" w:sz="0" w:space="0" w:color="auto"/>
      </w:divBdr>
      <w:divsChild>
        <w:div w:id="968557609">
          <w:marLeft w:val="0"/>
          <w:marRight w:val="0"/>
          <w:marTop w:val="0"/>
          <w:marBottom w:val="0"/>
          <w:divBdr>
            <w:top w:val="none" w:sz="0" w:space="0" w:color="auto"/>
            <w:left w:val="none" w:sz="0" w:space="0" w:color="auto"/>
            <w:bottom w:val="none" w:sz="0" w:space="0" w:color="auto"/>
            <w:right w:val="none" w:sz="0" w:space="0" w:color="auto"/>
          </w:divBdr>
          <w:divsChild>
            <w:div w:id="1216545727">
              <w:marLeft w:val="0"/>
              <w:marRight w:val="0"/>
              <w:marTop w:val="0"/>
              <w:marBottom w:val="0"/>
              <w:divBdr>
                <w:top w:val="none" w:sz="0" w:space="0" w:color="auto"/>
                <w:left w:val="none" w:sz="0" w:space="0" w:color="auto"/>
                <w:bottom w:val="none" w:sz="0" w:space="0" w:color="auto"/>
                <w:right w:val="none" w:sz="0" w:space="0" w:color="auto"/>
              </w:divBdr>
              <w:divsChild>
                <w:div w:id="2092044031">
                  <w:marLeft w:val="0"/>
                  <w:marRight w:val="0"/>
                  <w:marTop w:val="0"/>
                  <w:marBottom w:val="0"/>
                  <w:divBdr>
                    <w:top w:val="none" w:sz="0" w:space="0" w:color="auto"/>
                    <w:left w:val="none" w:sz="0" w:space="0" w:color="auto"/>
                    <w:bottom w:val="none" w:sz="0" w:space="0" w:color="auto"/>
                    <w:right w:val="none" w:sz="0" w:space="0" w:color="auto"/>
                  </w:divBdr>
                  <w:divsChild>
                    <w:div w:id="15974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80842">
      <w:bodyDiv w:val="1"/>
      <w:marLeft w:val="0"/>
      <w:marRight w:val="0"/>
      <w:marTop w:val="0"/>
      <w:marBottom w:val="0"/>
      <w:divBdr>
        <w:top w:val="none" w:sz="0" w:space="0" w:color="auto"/>
        <w:left w:val="none" w:sz="0" w:space="0" w:color="auto"/>
        <w:bottom w:val="none" w:sz="0" w:space="0" w:color="auto"/>
        <w:right w:val="none" w:sz="0" w:space="0" w:color="auto"/>
      </w:divBdr>
      <w:divsChild>
        <w:div w:id="124936281">
          <w:marLeft w:val="0"/>
          <w:marRight w:val="0"/>
          <w:marTop w:val="0"/>
          <w:marBottom w:val="0"/>
          <w:divBdr>
            <w:top w:val="none" w:sz="0" w:space="0" w:color="auto"/>
            <w:left w:val="none" w:sz="0" w:space="0" w:color="auto"/>
            <w:bottom w:val="none" w:sz="0" w:space="0" w:color="auto"/>
            <w:right w:val="none" w:sz="0" w:space="0" w:color="auto"/>
          </w:divBdr>
        </w:div>
        <w:div w:id="208146898">
          <w:marLeft w:val="0"/>
          <w:marRight w:val="0"/>
          <w:marTop w:val="0"/>
          <w:marBottom w:val="0"/>
          <w:divBdr>
            <w:top w:val="none" w:sz="0" w:space="0" w:color="auto"/>
            <w:left w:val="none" w:sz="0" w:space="0" w:color="auto"/>
            <w:bottom w:val="none" w:sz="0" w:space="0" w:color="auto"/>
            <w:right w:val="none" w:sz="0" w:space="0" w:color="auto"/>
          </w:divBdr>
        </w:div>
        <w:div w:id="211550462">
          <w:marLeft w:val="0"/>
          <w:marRight w:val="0"/>
          <w:marTop w:val="0"/>
          <w:marBottom w:val="0"/>
          <w:divBdr>
            <w:top w:val="none" w:sz="0" w:space="0" w:color="auto"/>
            <w:left w:val="none" w:sz="0" w:space="0" w:color="auto"/>
            <w:bottom w:val="none" w:sz="0" w:space="0" w:color="auto"/>
            <w:right w:val="none" w:sz="0" w:space="0" w:color="auto"/>
          </w:divBdr>
        </w:div>
        <w:div w:id="761686194">
          <w:marLeft w:val="0"/>
          <w:marRight w:val="0"/>
          <w:marTop w:val="0"/>
          <w:marBottom w:val="0"/>
          <w:divBdr>
            <w:top w:val="none" w:sz="0" w:space="0" w:color="auto"/>
            <w:left w:val="none" w:sz="0" w:space="0" w:color="auto"/>
            <w:bottom w:val="none" w:sz="0" w:space="0" w:color="auto"/>
            <w:right w:val="none" w:sz="0" w:space="0" w:color="auto"/>
          </w:divBdr>
        </w:div>
        <w:div w:id="766730014">
          <w:marLeft w:val="0"/>
          <w:marRight w:val="0"/>
          <w:marTop w:val="0"/>
          <w:marBottom w:val="0"/>
          <w:divBdr>
            <w:top w:val="none" w:sz="0" w:space="0" w:color="auto"/>
            <w:left w:val="none" w:sz="0" w:space="0" w:color="auto"/>
            <w:bottom w:val="none" w:sz="0" w:space="0" w:color="auto"/>
            <w:right w:val="none" w:sz="0" w:space="0" w:color="auto"/>
          </w:divBdr>
        </w:div>
        <w:div w:id="874461708">
          <w:marLeft w:val="0"/>
          <w:marRight w:val="0"/>
          <w:marTop w:val="0"/>
          <w:marBottom w:val="0"/>
          <w:divBdr>
            <w:top w:val="none" w:sz="0" w:space="0" w:color="auto"/>
            <w:left w:val="none" w:sz="0" w:space="0" w:color="auto"/>
            <w:bottom w:val="none" w:sz="0" w:space="0" w:color="auto"/>
            <w:right w:val="none" w:sz="0" w:space="0" w:color="auto"/>
          </w:divBdr>
        </w:div>
        <w:div w:id="1507207744">
          <w:marLeft w:val="0"/>
          <w:marRight w:val="0"/>
          <w:marTop w:val="0"/>
          <w:marBottom w:val="0"/>
          <w:divBdr>
            <w:top w:val="none" w:sz="0" w:space="0" w:color="auto"/>
            <w:left w:val="none" w:sz="0" w:space="0" w:color="auto"/>
            <w:bottom w:val="none" w:sz="0" w:space="0" w:color="auto"/>
            <w:right w:val="none" w:sz="0" w:space="0" w:color="auto"/>
          </w:divBdr>
        </w:div>
        <w:div w:id="1658920752">
          <w:marLeft w:val="0"/>
          <w:marRight w:val="0"/>
          <w:marTop w:val="0"/>
          <w:marBottom w:val="0"/>
          <w:divBdr>
            <w:top w:val="none" w:sz="0" w:space="0" w:color="auto"/>
            <w:left w:val="none" w:sz="0" w:space="0" w:color="auto"/>
            <w:bottom w:val="none" w:sz="0" w:space="0" w:color="auto"/>
            <w:right w:val="none" w:sz="0" w:space="0" w:color="auto"/>
          </w:divBdr>
        </w:div>
        <w:div w:id="1823353693">
          <w:marLeft w:val="0"/>
          <w:marRight w:val="0"/>
          <w:marTop w:val="0"/>
          <w:marBottom w:val="0"/>
          <w:divBdr>
            <w:top w:val="none" w:sz="0" w:space="0" w:color="auto"/>
            <w:left w:val="none" w:sz="0" w:space="0" w:color="auto"/>
            <w:bottom w:val="none" w:sz="0" w:space="0" w:color="auto"/>
            <w:right w:val="none" w:sz="0" w:space="0" w:color="auto"/>
          </w:divBdr>
        </w:div>
        <w:div w:id="1826698423">
          <w:marLeft w:val="0"/>
          <w:marRight w:val="0"/>
          <w:marTop w:val="0"/>
          <w:marBottom w:val="0"/>
          <w:divBdr>
            <w:top w:val="none" w:sz="0" w:space="0" w:color="auto"/>
            <w:left w:val="none" w:sz="0" w:space="0" w:color="auto"/>
            <w:bottom w:val="none" w:sz="0" w:space="0" w:color="auto"/>
            <w:right w:val="none" w:sz="0" w:space="0" w:color="auto"/>
          </w:divBdr>
        </w:div>
      </w:divsChild>
    </w:div>
    <w:div w:id="554856565">
      <w:bodyDiv w:val="1"/>
      <w:marLeft w:val="0"/>
      <w:marRight w:val="0"/>
      <w:marTop w:val="0"/>
      <w:marBottom w:val="0"/>
      <w:divBdr>
        <w:top w:val="none" w:sz="0" w:space="0" w:color="auto"/>
        <w:left w:val="none" w:sz="0" w:space="0" w:color="auto"/>
        <w:bottom w:val="none" w:sz="0" w:space="0" w:color="auto"/>
        <w:right w:val="none" w:sz="0" w:space="0" w:color="auto"/>
      </w:divBdr>
      <w:divsChild>
        <w:div w:id="1944528909">
          <w:marLeft w:val="0"/>
          <w:marRight w:val="0"/>
          <w:marTop w:val="0"/>
          <w:marBottom w:val="0"/>
          <w:divBdr>
            <w:top w:val="none" w:sz="0" w:space="0" w:color="auto"/>
            <w:left w:val="none" w:sz="0" w:space="0" w:color="auto"/>
            <w:bottom w:val="none" w:sz="0" w:space="0" w:color="auto"/>
            <w:right w:val="none" w:sz="0" w:space="0" w:color="auto"/>
          </w:divBdr>
          <w:divsChild>
            <w:div w:id="29885146">
              <w:marLeft w:val="0"/>
              <w:marRight w:val="0"/>
              <w:marTop w:val="0"/>
              <w:marBottom w:val="0"/>
              <w:divBdr>
                <w:top w:val="none" w:sz="0" w:space="0" w:color="auto"/>
                <w:left w:val="none" w:sz="0" w:space="0" w:color="auto"/>
                <w:bottom w:val="none" w:sz="0" w:space="0" w:color="auto"/>
                <w:right w:val="none" w:sz="0" w:space="0" w:color="auto"/>
              </w:divBdr>
              <w:divsChild>
                <w:div w:id="2887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64163">
      <w:bodyDiv w:val="1"/>
      <w:marLeft w:val="0"/>
      <w:marRight w:val="0"/>
      <w:marTop w:val="0"/>
      <w:marBottom w:val="0"/>
      <w:divBdr>
        <w:top w:val="none" w:sz="0" w:space="0" w:color="auto"/>
        <w:left w:val="none" w:sz="0" w:space="0" w:color="auto"/>
        <w:bottom w:val="none" w:sz="0" w:space="0" w:color="auto"/>
        <w:right w:val="none" w:sz="0" w:space="0" w:color="auto"/>
      </w:divBdr>
    </w:div>
    <w:div w:id="569384797">
      <w:bodyDiv w:val="1"/>
      <w:marLeft w:val="0"/>
      <w:marRight w:val="0"/>
      <w:marTop w:val="0"/>
      <w:marBottom w:val="0"/>
      <w:divBdr>
        <w:top w:val="none" w:sz="0" w:space="0" w:color="auto"/>
        <w:left w:val="none" w:sz="0" w:space="0" w:color="auto"/>
        <w:bottom w:val="none" w:sz="0" w:space="0" w:color="auto"/>
        <w:right w:val="none" w:sz="0" w:space="0" w:color="auto"/>
      </w:divBdr>
    </w:div>
    <w:div w:id="600601257">
      <w:bodyDiv w:val="1"/>
      <w:marLeft w:val="0"/>
      <w:marRight w:val="0"/>
      <w:marTop w:val="0"/>
      <w:marBottom w:val="0"/>
      <w:divBdr>
        <w:top w:val="none" w:sz="0" w:space="0" w:color="auto"/>
        <w:left w:val="none" w:sz="0" w:space="0" w:color="auto"/>
        <w:bottom w:val="none" w:sz="0" w:space="0" w:color="auto"/>
        <w:right w:val="none" w:sz="0" w:space="0" w:color="auto"/>
      </w:divBdr>
    </w:div>
    <w:div w:id="627129225">
      <w:bodyDiv w:val="1"/>
      <w:marLeft w:val="0"/>
      <w:marRight w:val="0"/>
      <w:marTop w:val="0"/>
      <w:marBottom w:val="0"/>
      <w:divBdr>
        <w:top w:val="none" w:sz="0" w:space="0" w:color="auto"/>
        <w:left w:val="none" w:sz="0" w:space="0" w:color="auto"/>
        <w:bottom w:val="none" w:sz="0" w:space="0" w:color="auto"/>
        <w:right w:val="none" w:sz="0" w:space="0" w:color="auto"/>
      </w:divBdr>
    </w:div>
    <w:div w:id="655190524">
      <w:bodyDiv w:val="1"/>
      <w:marLeft w:val="0"/>
      <w:marRight w:val="0"/>
      <w:marTop w:val="0"/>
      <w:marBottom w:val="0"/>
      <w:divBdr>
        <w:top w:val="none" w:sz="0" w:space="0" w:color="auto"/>
        <w:left w:val="none" w:sz="0" w:space="0" w:color="auto"/>
        <w:bottom w:val="none" w:sz="0" w:space="0" w:color="auto"/>
        <w:right w:val="none" w:sz="0" w:space="0" w:color="auto"/>
      </w:divBdr>
      <w:divsChild>
        <w:div w:id="1053701982">
          <w:marLeft w:val="0"/>
          <w:marRight w:val="0"/>
          <w:marTop w:val="0"/>
          <w:marBottom w:val="0"/>
          <w:divBdr>
            <w:top w:val="none" w:sz="0" w:space="0" w:color="auto"/>
            <w:left w:val="none" w:sz="0" w:space="0" w:color="auto"/>
            <w:bottom w:val="none" w:sz="0" w:space="0" w:color="auto"/>
            <w:right w:val="none" w:sz="0" w:space="0" w:color="auto"/>
          </w:divBdr>
          <w:divsChild>
            <w:div w:id="1726030558">
              <w:marLeft w:val="0"/>
              <w:marRight w:val="0"/>
              <w:marTop w:val="0"/>
              <w:marBottom w:val="0"/>
              <w:divBdr>
                <w:top w:val="none" w:sz="0" w:space="0" w:color="auto"/>
                <w:left w:val="none" w:sz="0" w:space="0" w:color="auto"/>
                <w:bottom w:val="none" w:sz="0" w:space="0" w:color="auto"/>
                <w:right w:val="none" w:sz="0" w:space="0" w:color="auto"/>
              </w:divBdr>
              <w:divsChild>
                <w:div w:id="54668177">
                  <w:marLeft w:val="0"/>
                  <w:marRight w:val="0"/>
                  <w:marTop w:val="0"/>
                  <w:marBottom w:val="0"/>
                  <w:divBdr>
                    <w:top w:val="none" w:sz="0" w:space="0" w:color="auto"/>
                    <w:left w:val="none" w:sz="0" w:space="0" w:color="auto"/>
                    <w:bottom w:val="none" w:sz="0" w:space="0" w:color="auto"/>
                    <w:right w:val="none" w:sz="0" w:space="0" w:color="auto"/>
                  </w:divBdr>
                  <w:divsChild>
                    <w:div w:id="529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331030">
      <w:bodyDiv w:val="1"/>
      <w:marLeft w:val="0"/>
      <w:marRight w:val="0"/>
      <w:marTop w:val="0"/>
      <w:marBottom w:val="0"/>
      <w:divBdr>
        <w:top w:val="none" w:sz="0" w:space="0" w:color="auto"/>
        <w:left w:val="none" w:sz="0" w:space="0" w:color="auto"/>
        <w:bottom w:val="none" w:sz="0" w:space="0" w:color="auto"/>
        <w:right w:val="none" w:sz="0" w:space="0" w:color="auto"/>
      </w:divBdr>
      <w:divsChild>
        <w:div w:id="660734794">
          <w:marLeft w:val="0"/>
          <w:marRight w:val="0"/>
          <w:marTop w:val="0"/>
          <w:marBottom w:val="0"/>
          <w:divBdr>
            <w:top w:val="none" w:sz="0" w:space="0" w:color="auto"/>
            <w:left w:val="none" w:sz="0" w:space="0" w:color="auto"/>
            <w:bottom w:val="none" w:sz="0" w:space="0" w:color="auto"/>
            <w:right w:val="none" w:sz="0" w:space="0" w:color="auto"/>
          </w:divBdr>
          <w:divsChild>
            <w:div w:id="448162247">
              <w:marLeft w:val="0"/>
              <w:marRight w:val="0"/>
              <w:marTop w:val="0"/>
              <w:marBottom w:val="0"/>
              <w:divBdr>
                <w:top w:val="none" w:sz="0" w:space="0" w:color="auto"/>
                <w:left w:val="none" w:sz="0" w:space="0" w:color="auto"/>
                <w:bottom w:val="none" w:sz="0" w:space="0" w:color="auto"/>
                <w:right w:val="none" w:sz="0" w:space="0" w:color="auto"/>
              </w:divBdr>
              <w:divsChild>
                <w:div w:id="9278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35824">
      <w:bodyDiv w:val="1"/>
      <w:marLeft w:val="0"/>
      <w:marRight w:val="0"/>
      <w:marTop w:val="0"/>
      <w:marBottom w:val="0"/>
      <w:divBdr>
        <w:top w:val="none" w:sz="0" w:space="0" w:color="auto"/>
        <w:left w:val="none" w:sz="0" w:space="0" w:color="auto"/>
        <w:bottom w:val="none" w:sz="0" w:space="0" w:color="auto"/>
        <w:right w:val="none" w:sz="0" w:space="0" w:color="auto"/>
      </w:divBdr>
    </w:div>
    <w:div w:id="698773575">
      <w:bodyDiv w:val="1"/>
      <w:marLeft w:val="0"/>
      <w:marRight w:val="0"/>
      <w:marTop w:val="0"/>
      <w:marBottom w:val="0"/>
      <w:divBdr>
        <w:top w:val="none" w:sz="0" w:space="0" w:color="auto"/>
        <w:left w:val="none" w:sz="0" w:space="0" w:color="auto"/>
        <w:bottom w:val="none" w:sz="0" w:space="0" w:color="auto"/>
        <w:right w:val="none" w:sz="0" w:space="0" w:color="auto"/>
      </w:divBdr>
    </w:div>
    <w:div w:id="708802424">
      <w:bodyDiv w:val="1"/>
      <w:marLeft w:val="0"/>
      <w:marRight w:val="0"/>
      <w:marTop w:val="0"/>
      <w:marBottom w:val="0"/>
      <w:divBdr>
        <w:top w:val="none" w:sz="0" w:space="0" w:color="auto"/>
        <w:left w:val="none" w:sz="0" w:space="0" w:color="auto"/>
        <w:bottom w:val="none" w:sz="0" w:space="0" w:color="auto"/>
        <w:right w:val="none" w:sz="0" w:space="0" w:color="auto"/>
      </w:divBdr>
      <w:divsChild>
        <w:div w:id="710034528">
          <w:marLeft w:val="0"/>
          <w:marRight w:val="0"/>
          <w:marTop w:val="0"/>
          <w:marBottom w:val="0"/>
          <w:divBdr>
            <w:top w:val="none" w:sz="0" w:space="0" w:color="auto"/>
            <w:left w:val="none" w:sz="0" w:space="0" w:color="auto"/>
            <w:bottom w:val="none" w:sz="0" w:space="0" w:color="auto"/>
            <w:right w:val="none" w:sz="0" w:space="0" w:color="auto"/>
          </w:divBdr>
          <w:divsChild>
            <w:div w:id="690839867">
              <w:marLeft w:val="0"/>
              <w:marRight w:val="0"/>
              <w:marTop w:val="0"/>
              <w:marBottom w:val="0"/>
              <w:divBdr>
                <w:top w:val="none" w:sz="0" w:space="0" w:color="auto"/>
                <w:left w:val="none" w:sz="0" w:space="0" w:color="auto"/>
                <w:bottom w:val="none" w:sz="0" w:space="0" w:color="auto"/>
                <w:right w:val="none" w:sz="0" w:space="0" w:color="auto"/>
              </w:divBdr>
              <w:divsChild>
                <w:div w:id="12627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4789">
      <w:bodyDiv w:val="1"/>
      <w:marLeft w:val="0"/>
      <w:marRight w:val="0"/>
      <w:marTop w:val="0"/>
      <w:marBottom w:val="0"/>
      <w:divBdr>
        <w:top w:val="none" w:sz="0" w:space="0" w:color="auto"/>
        <w:left w:val="none" w:sz="0" w:space="0" w:color="auto"/>
        <w:bottom w:val="none" w:sz="0" w:space="0" w:color="auto"/>
        <w:right w:val="none" w:sz="0" w:space="0" w:color="auto"/>
      </w:divBdr>
    </w:div>
    <w:div w:id="792094016">
      <w:bodyDiv w:val="1"/>
      <w:marLeft w:val="0"/>
      <w:marRight w:val="0"/>
      <w:marTop w:val="0"/>
      <w:marBottom w:val="0"/>
      <w:divBdr>
        <w:top w:val="none" w:sz="0" w:space="0" w:color="auto"/>
        <w:left w:val="none" w:sz="0" w:space="0" w:color="auto"/>
        <w:bottom w:val="none" w:sz="0" w:space="0" w:color="auto"/>
        <w:right w:val="none" w:sz="0" w:space="0" w:color="auto"/>
      </w:divBdr>
    </w:div>
    <w:div w:id="800803313">
      <w:bodyDiv w:val="1"/>
      <w:marLeft w:val="0"/>
      <w:marRight w:val="0"/>
      <w:marTop w:val="0"/>
      <w:marBottom w:val="0"/>
      <w:divBdr>
        <w:top w:val="none" w:sz="0" w:space="0" w:color="auto"/>
        <w:left w:val="none" w:sz="0" w:space="0" w:color="auto"/>
        <w:bottom w:val="none" w:sz="0" w:space="0" w:color="auto"/>
        <w:right w:val="none" w:sz="0" w:space="0" w:color="auto"/>
      </w:divBdr>
      <w:divsChild>
        <w:div w:id="783159338">
          <w:marLeft w:val="0"/>
          <w:marRight w:val="0"/>
          <w:marTop w:val="0"/>
          <w:marBottom w:val="0"/>
          <w:divBdr>
            <w:top w:val="none" w:sz="0" w:space="0" w:color="auto"/>
            <w:left w:val="none" w:sz="0" w:space="0" w:color="auto"/>
            <w:bottom w:val="none" w:sz="0" w:space="0" w:color="auto"/>
            <w:right w:val="none" w:sz="0" w:space="0" w:color="auto"/>
          </w:divBdr>
          <w:divsChild>
            <w:div w:id="709839301">
              <w:marLeft w:val="0"/>
              <w:marRight w:val="0"/>
              <w:marTop w:val="0"/>
              <w:marBottom w:val="0"/>
              <w:divBdr>
                <w:top w:val="none" w:sz="0" w:space="0" w:color="auto"/>
                <w:left w:val="none" w:sz="0" w:space="0" w:color="auto"/>
                <w:bottom w:val="none" w:sz="0" w:space="0" w:color="auto"/>
                <w:right w:val="none" w:sz="0" w:space="0" w:color="auto"/>
              </w:divBdr>
              <w:divsChild>
                <w:div w:id="462433184">
                  <w:marLeft w:val="0"/>
                  <w:marRight w:val="0"/>
                  <w:marTop w:val="0"/>
                  <w:marBottom w:val="0"/>
                  <w:divBdr>
                    <w:top w:val="none" w:sz="0" w:space="0" w:color="auto"/>
                    <w:left w:val="none" w:sz="0" w:space="0" w:color="auto"/>
                    <w:bottom w:val="none" w:sz="0" w:space="0" w:color="auto"/>
                    <w:right w:val="none" w:sz="0" w:space="0" w:color="auto"/>
                  </w:divBdr>
                  <w:divsChild>
                    <w:div w:id="15947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652321">
      <w:bodyDiv w:val="1"/>
      <w:marLeft w:val="0"/>
      <w:marRight w:val="0"/>
      <w:marTop w:val="0"/>
      <w:marBottom w:val="0"/>
      <w:divBdr>
        <w:top w:val="none" w:sz="0" w:space="0" w:color="auto"/>
        <w:left w:val="none" w:sz="0" w:space="0" w:color="auto"/>
        <w:bottom w:val="none" w:sz="0" w:space="0" w:color="auto"/>
        <w:right w:val="none" w:sz="0" w:space="0" w:color="auto"/>
      </w:divBdr>
      <w:divsChild>
        <w:div w:id="336083411">
          <w:marLeft w:val="360"/>
          <w:marRight w:val="0"/>
          <w:marTop w:val="200"/>
          <w:marBottom w:val="0"/>
          <w:divBdr>
            <w:top w:val="none" w:sz="0" w:space="0" w:color="auto"/>
            <w:left w:val="none" w:sz="0" w:space="0" w:color="auto"/>
            <w:bottom w:val="none" w:sz="0" w:space="0" w:color="auto"/>
            <w:right w:val="none" w:sz="0" w:space="0" w:color="auto"/>
          </w:divBdr>
        </w:div>
        <w:div w:id="678779966">
          <w:marLeft w:val="360"/>
          <w:marRight w:val="0"/>
          <w:marTop w:val="40"/>
          <w:marBottom w:val="0"/>
          <w:divBdr>
            <w:top w:val="none" w:sz="0" w:space="0" w:color="auto"/>
            <w:left w:val="none" w:sz="0" w:space="0" w:color="auto"/>
            <w:bottom w:val="none" w:sz="0" w:space="0" w:color="auto"/>
            <w:right w:val="none" w:sz="0" w:space="0" w:color="auto"/>
          </w:divBdr>
        </w:div>
        <w:div w:id="1188523868">
          <w:marLeft w:val="360"/>
          <w:marRight w:val="0"/>
          <w:marTop w:val="40"/>
          <w:marBottom w:val="0"/>
          <w:divBdr>
            <w:top w:val="none" w:sz="0" w:space="0" w:color="auto"/>
            <w:left w:val="none" w:sz="0" w:space="0" w:color="auto"/>
            <w:bottom w:val="none" w:sz="0" w:space="0" w:color="auto"/>
            <w:right w:val="none" w:sz="0" w:space="0" w:color="auto"/>
          </w:divBdr>
        </w:div>
        <w:div w:id="1447651045">
          <w:marLeft w:val="360"/>
          <w:marRight w:val="0"/>
          <w:marTop w:val="40"/>
          <w:marBottom w:val="0"/>
          <w:divBdr>
            <w:top w:val="none" w:sz="0" w:space="0" w:color="auto"/>
            <w:left w:val="none" w:sz="0" w:space="0" w:color="auto"/>
            <w:bottom w:val="none" w:sz="0" w:space="0" w:color="auto"/>
            <w:right w:val="none" w:sz="0" w:space="0" w:color="auto"/>
          </w:divBdr>
        </w:div>
        <w:div w:id="1839493815">
          <w:marLeft w:val="360"/>
          <w:marRight w:val="0"/>
          <w:marTop w:val="200"/>
          <w:marBottom w:val="0"/>
          <w:divBdr>
            <w:top w:val="none" w:sz="0" w:space="0" w:color="auto"/>
            <w:left w:val="none" w:sz="0" w:space="0" w:color="auto"/>
            <w:bottom w:val="none" w:sz="0" w:space="0" w:color="auto"/>
            <w:right w:val="none" w:sz="0" w:space="0" w:color="auto"/>
          </w:divBdr>
        </w:div>
      </w:divsChild>
    </w:div>
    <w:div w:id="915242943">
      <w:bodyDiv w:val="1"/>
      <w:marLeft w:val="0"/>
      <w:marRight w:val="0"/>
      <w:marTop w:val="0"/>
      <w:marBottom w:val="0"/>
      <w:divBdr>
        <w:top w:val="none" w:sz="0" w:space="0" w:color="auto"/>
        <w:left w:val="none" w:sz="0" w:space="0" w:color="auto"/>
        <w:bottom w:val="none" w:sz="0" w:space="0" w:color="auto"/>
        <w:right w:val="none" w:sz="0" w:space="0" w:color="auto"/>
      </w:divBdr>
    </w:div>
    <w:div w:id="924220536">
      <w:bodyDiv w:val="1"/>
      <w:marLeft w:val="0"/>
      <w:marRight w:val="0"/>
      <w:marTop w:val="0"/>
      <w:marBottom w:val="0"/>
      <w:divBdr>
        <w:top w:val="none" w:sz="0" w:space="0" w:color="auto"/>
        <w:left w:val="none" w:sz="0" w:space="0" w:color="auto"/>
        <w:bottom w:val="none" w:sz="0" w:space="0" w:color="auto"/>
        <w:right w:val="none" w:sz="0" w:space="0" w:color="auto"/>
      </w:divBdr>
    </w:div>
    <w:div w:id="934168718">
      <w:bodyDiv w:val="1"/>
      <w:marLeft w:val="0"/>
      <w:marRight w:val="0"/>
      <w:marTop w:val="0"/>
      <w:marBottom w:val="0"/>
      <w:divBdr>
        <w:top w:val="none" w:sz="0" w:space="0" w:color="auto"/>
        <w:left w:val="none" w:sz="0" w:space="0" w:color="auto"/>
        <w:bottom w:val="none" w:sz="0" w:space="0" w:color="auto"/>
        <w:right w:val="none" w:sz="0" w:space="0" w:color="auto"/>
      </w:divBdr>
    </w:div>
    <w:div w:id="937105908">
      <w:bodyDiv w:val="1"/>
      <w:marLeft w:val="0"/>
      <w:marRight w:val="0"/>
      <w:marTop w:val="0"/>
      <w:marBottom w:val="0"/>
      <w:divBdr>
        <w:top w:val="none" w:sz="0" w:space="0" w:color="auto"/>
        <w:left w:val="none" w:sz="0" w:space="0" w:color="auto"/>
        <w:bottom w:val="none" w:sz="0" w:space="0" w:color="auto"/>
        <w:right w:val="none" w:sz="0" w:space="0" w:color="auto"/>
      </w:divBdr>
    </w:div>
    <w:div w:id="938412382">
      <w:bodyDiv w:val="1"/>
      <w:marLeft w:val="0"/>
      <w:marRight w:val="0"/>
      <w:marTop w:val="0"/>
      <w:marBottom w:val="0"/>
      <w:divBdr>
        <w:top w:val="none" w:sz="0" w:space="0" w:color="auto"/>
        <w:left w:val="none" w:sz="0" w:space="0" w:color="auto"/>
        <w:bottom w:val="none" w:sz="0" w:space="0" w:color="auto"/>
        <w:right w:val="none" w:sz="0" w:space="0" w:color="auto"/>
      </w:divBdr>
    </w:div>
    <w:div w:id="944919986">
      <w:bodyDiv w:val="1"/>
      <w:marLeft w:val="0"/>
      <w:marRight w:val="0"/>
      <w:marTop w:val="0"/>
      <w:marBottom w:val="0"/>
      <w:divBdr>
        <w:top w:val="none" w:sz="0" w:space="0" w:color="auto"/>
        <w:left w:val="none" w:sz="0" w:space="0" w:color="auto"/>
        <w:bottom w:val="none" w:sz="0" w:space="0" w:color="auto"/>
        <w:right w:val="none" w:sz="0" w:space="0" w:color="auto"/>
      </w:divBdr>
    </w:div>
    <w:div w:id="957613402">
      <w:bodyDiv w:val="1"/>
      <w:marLeft w:val="0"/>
      <w:marRight w:val="0"/>
      <w:marTop w:val="0"/>
      <w:marBottom w:val="0"/>
      <w:divBdr>
        <w:top w:val="none" w:sz="0" w:space="0" w:color="auto"/>
        <w:left w:val="none" w:sz="0" w:space="0" w:color="auto"/>
        <w:bottom w:val="none" w:sz="0" w:space="0" w:color="auto"/>
        <w:right w:val="none" w:sz="0" w:space="0" w:color="auto"/>
      </w:divBdr>
    </w:div>
    <w:div w:id="1001355224">
      <w:bodyDiv w:val="1"/>
      <w:marLeft w:val="0"/>
      <w:marRight w:val="0"/>
      <w:marTop w:val="0"/>
      <w:marBottom w:val="0"/>
      <w:divBdr>
        <w:top w:val="none" w:sz="0" w:space="0" w:color="auto"/>
        <w:left w:val="none" w:sz="0" w:space="0" w:color="auto"/>
        <w:bottom w:val="none" w:sz="0" w:space="0" w:color="auto"/>
        <w:right w:val="none" w:sz="0" w:space="0" w:color="auto"/>
      </w:divBdr>
      <w:divsChild>
        <w:div w:id="1888250048">
          <w:marLeft w:val="0"/>
          <w:marRight w:val="0"/>
          <w:marTop w:val="0"/>
          <w:marBottom w:val="0"/>
          <w:divBdr>
            <w:top w:val="none" w:sz="0" w:space="0" w:color="auto"/>
            <w:left w:val="none" w:sz="0" w:space="0" w:color="auto"/>
            <w:bottom w:val="none" w:sz="0" w:space="0" w:color="auto"/>
            <w:right w:val="none" w:sz="0" w:space="0" w:color="auto"/>
          </w:divBdr>
          <w:divsChild>
            <w:div w:id="626544778">
              <w:marLeft w:val="0"/>
              <w:marRight w:val="0"/>
              <w:marTop w:val="0"/>
              <w:marBottom w:val="0"/>
              <w:divBdr>
                <w:top w:val="none" w:sz="0" w:space="0" w:color="auto"/>
                <w:left w:val="none" w:sz="0" w:space="0" w:color="auto"/>
                <w:bottom w:val="none" w:sz="0" w:space="0" w:color="auto"/>
                <w:right w:val="none" w:sz="0" w:space="0" w:color="auto"/>
              </w:divBdr>
              <w:divsChild>
                <w:div w:id="13584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6934">
      <w:bodyDiv w:val="1"/>
      <w:marLeft w:val="0"/>
      <w:marRight w:val="0"/>
      <w:marTop w:val="0"/>
      <w:marBottom w:val="0"/>
      <w:divBdr>
        <w:top w:val="none" w:sz="0" w:space="0" w:color="auto"/>
        <w:left w:val="none" w:sz="0" w:space="0" w:color="auto"/>
        <w:bottom w:val="none" w:sz="0" w:space="0" w:color="auto"/>
        <w:right w:val="none" w:sz="0" w:space="0" w:color="auto"/>
      </w:divBdr>
    </w:div>
    <w:div w:id="1007950515">
      <w:bodyDiv w:val="1"/>
      <w:marLeft w:val="0"/>
      <w:marRight w:val="0"/>
      <w:marTop w:val="0"/>
      <w:marBottom w:val="0"/>
      <w:divBdr>
        <w:top w:val="none" w:sz="0" w:space="0" w:color="auto"/>
        <w:left w:val="none" w:sz="0" w:space="0" w:color="auto"/>
        <w:bottom w:val="none" w:sz="0" w:space="0" w:color="auto"/>
        <w:right w:val="none" w:sz="0" w:space="0" w:color="auto"/>
      </w:divBdr>
      <w:divsChild>
        <w:div w:id="1118451924">
          <w:marLeft w:val="0"/>
          <w:marRight w:val="0"/>
          <w:marTop w:val="0"/>
          <w:marBottom w:val="0"/>
          <w:divBdr>
            <w:top w:val="none" w:sz="0" w:space="0" w:color="auto"/>
            <w:left w:val="none" w:sz="0" w:space="0" w:color="auto"/>
            <w:bottom w:val="none" w:sz="0" w:space="0" w:color="auto"/>
            <w:right w:val="none" w:sz="0" w:space="0" w:color="auto"/>
          </w:divBdr>
          <w:divsChild>
            <w:div w:id="1953825470">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5479">
      <w:bodyDiv w:val="1"/>
      <w:marLeft w:val="0"/>
      <w:marRight w:val="0"/>
      <w:marTop w:val="0"/>
      <w:marBottom w:val="0"/>
      <w:divBdr>
        <w:top w:val="none" w:sz="0" w:space="0" w:color="auto"/>
        <w:left w:val="none" w:sz="0" w:space="0" w:color="auto"/>
        <w:bottom w:val="none" w:sz="0" w:space="0" w:color="auto"/>
        <w:right w:val="none" w:sz="0" w:space="0" w:color="auto"/>
      </w:divBdr>
    </w:div>
    <w:div w:id="1028995237">
      <w:bodyDiv w:val="1"/>
      <w:marLeft w:val="0"/>
      <w:marRight w:val="0"/>
      <w:marTop w:val="0"/>
      <w:marBottom w:val="0"/>
      <w:divBdr>
        <w:top w:val="none" w:sz="0" w:space="0" w:color="auto"/>
        <w:left w:val="none" w:sz="0" w:space="0" w:color="auto"/>
        <w:bottom w:val="none" w:sz="0" w:space="0" w:color="auto"/>
        <w:right w:val="none" w:sz="0" w:space="0" w:color="auto"/>
      </w:divBdr>
    </w:div>
    <w:div w:id="1053234396">
      <w:bodyDiv w:val="1"/>
      <w:marLeft w:val="0"/>
      <w:marRight w:val="0"/>
      <w:marTop w:val="0"/>
      <w:marBottom w:val="0"/>
      <w:divBdr>
        <w:top w:val="none" w:sz="0" w:space="0" w:color="auto"/>
        <w:left w:val="none" w:sz="0" w:space="0" w:color="auto"/>
        <w:bottom w:val="none" w:sz="0" w:space="0" w:color="auto"/>
        <w:right w:val="none" w:sz="0" w:space="0" w:color="auto"/>
      </w:divBdr>
    </w:div>
    <w:div w:id="1059524161">
      <w:bodyDiv w:val="1"/>
      <w:marLeft w:val="0"/>
      <w:marRight w:val="0"/>
      <w:marTop w:val="0"/>
      <w:marBottom w:val="0"/>
      <w:divBdr>
        <w:top w:val="none" w:sz="0" w:space="0" w:color="auto"/>
        <w:left w:val="none" w:sz="0" w:space="0" w:color="auto"/>
        <w:bottom w:val="none" w:sz="0" w:space="0" w:color="auto"/>
        <w:right w:val="none" w:sz="0" w:space="0" w:color="auto"/>
      </w:divBdr>
      <w:divsChild>
        <w:div w:id="1074743980">
          <w:marLeft w:val="0"/>
          <w:marRight w:val="0"/>
          <w:marTop w:val="0"/>
          <w:marBottom w:val="0"/>
          <w:divBdr>
            <w:top w:val="none" w:sz="0" w:space="0" w:color="auto"/>
            <w:left w:val="none" w:sz="0" w:space="0" w:color="auto"/>
            <w:bottom w:val="none" w:sz="0" w:space="0" w:color="auto"/>
            <w:right w:val="none" w:sz="0" w:space="0" w:color="auto"/>
          </w:divBdr>
          <w:divsChild>
            <w:div w:id="1659915267">
              <w:marLeft w:val="0"/>
              <w:marRight w:val="0"/>
              <w:marTop w:val="0"/>
              <w:marBottom w:val="0"/>
              <w:divBdr>
                <w:top w:val="none" w:sz="0" w:space="0" w:color="auto"/>
                <w:left w:val="none" w:sz="0" w:space="0" w:color="auto"/>
                <w:bottom w:val="none" w:sz="0" w:space="0" w:color="auto"/>
                <w:right w:val="none" w:sz="0" w:space="0" w:color="auto"/>
              </w:divBdr>
              <w:divsChild>
                <w:div w:id="18706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7016">
      <w:bodyDiv w:val="1"/>
      <w:marLeft w:val="0"/>
      <w:marRight w:val="0"/>
      <w:marTop w:val="0"/>
      <w:marBottom w:val="0"/>
      <w:divBdr>
        <w:top w:val="none" w:sz="0" w:space="0" w:color="auto"/>
        <w:left w:val="none" w:sz="0" w:space="0" w:color="auto"/>
        <w:bottom w:val="none" w:sz="0" w:space="0" w:color="auto"/>
        <w:right w:val="none" w:sz="0" w:space="0" w:color="auto"/>
      </w:divBdr>
    </w:div>
    <w:div w:id="1088963036">
      <w:bodyDiv w:val="1"/>
      <w:marLeft w:val="0"/>
      <w:marRight w:val="0"/>
      <w:marTop w:val="0"/>
      <w:marBottom w:val="0"/>
      <w:divBdr>
        <w:top w:val="none" w:sz="0" w:space="0" w:color="auto"/>
        <w:left w:val="none" w:sz="0" w:space="0" w:color="auto"/>
        <w:bottom w:val="none" w:sz="0" w:space="0" w:color="auto"/>
        <w:right w:val="none" w:sz="0" w:space="0" w:color="auto"/>
      </w:divBdr>
      <w:divsChild>
        <w:div w:id="840387564">
          <w:marLeft w:val="0"/>
          <w:marRight w:val="0"/>
          <w:marTop w:val="0"/>
          <w:marBottom w:val="0"/>
          <w:divBdr>
            <w:top w:val="none" w:sz="0" w:space="0" w:color="auto"/>
            <w:left w:val="none" w:sz="0" w:space="0" w:color="auto"/>
            <w:bottom w:val="none" w:sz="0" w:space="0" w:color="auto"/>
            <w:right w:val="none" w:sz="0" w:space="0" w:color="auto"/>
          </w:divBdr>
          <w:divsChild>
            <w:div w:id="1915816171">
              <w:marLeft w:val="0"/>
              <w:marRight w:val="0"/>
              <w:marTop w:val="0"/>
              <w:marBottom w:val="0"/>
              <w:divBdr>
                <w:top w:val="none" w:sz="0" w:space="0" w:color="auto"/>
                <w:left w:val="none" w:sz="0" w:space="0" w:color="auto"/>
                <w:bottom w:val="none" w:sz="0" w:space="0" w:color="auto"/>
                <w:right w:val="none" w:sz="0" w:space="0" w:color="auto"/>
              </w:divBdr>
              <w:divsChild>
                <w:div w:id="185502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79944">
      <w:bodyDiv w:val="1"/>
      <w:marLeft w:val="0"/>
      <w:marRight w:val="0"/>
      <w:marTop w:val="0"/>
      <w:marBottom w:val="0"/>
      <w:divBdr>
        <w:top w:val="none" w:sz="0" w:space="0" w:color="auto"/>
        <w:left w:val="none" w:sz="0" w:space="0" w:color="auto"/>
        <w:bottom w:val="none" w:sz="0" w:space="0" w:color="auto"/>
        <w:right w:val="none" w:sz="0" w:space="0" w:color="auto"/>
      </w:divBdr>
    </w:div>
    <w:div w:id="1148782387">
      <w:bodyDiv w:val="1"/>
      <w:marLeft w:val="0"/>
      <w:marRight w:val="0"/>
      <w:marTop w:val="0"/>
      <w:marBottom w:val="0"/>
      <w:divBdr>
        <w:top w:val="none" w:sz="0" w:space="0" w:color="auto"/>
        <w:left w:val="none" w:sz="0" w:space="0" w:color="auto"/>
        <w:bottom w:val="none" w:sz="0" w:space="0" w:color="auto"/>
        <w:right w:val="none" w:sz="0" w:space="0" w:color="auto"/>
      </w:divBdr>
      <w:divsChild>
        <w:div w:id="1908496452">
          <w:marLeft w:val="0"/>
          <w:marRight w:val="0"/>
          <w:marTop w:val="0"/>
          <w:marBottom w:val="0"/>
          <w:divBdr>
            <w:top w:val="none" w:sz="0" w:space="0" w:color="auto"/>
            <w:left w:val="none" w:sz="0" w:space="0" w:color="auto"/>
            <w:bottom w:val="none" w:sz="0" w:space="0" w:color="auto"/>
            <w:right w:val="none" w:sz="0" w:space="0" w:color="auto"/>
          </w:divBdr>
          <w:divsChild>
            <w:div w:id="139687840">
              <w:marLeft w:val="0"/>
              <w:marRight w:val="0"/>
              <w:marTop w:val="0"/>
              <w:marBottom w:val="0"/>
              <w:divBdr>
                <w:top w:val="none" w:sz="0" w:space="0" w:color="auto"/>
                <w:left w:val="none" w:sz="0" w:space="0" w:color="auto"/>
                <w:bottom w:val="none" w:sz="0" w:space="0" w:color="auto"/>
                <w:right w:val="none" w:sz="0" w:space="0" w:color="auto"/>
              </w:divBdr>
              <w:divsChild>
                <w:div w:id="153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4885">
      <w:bodyDiv w:val="1"/>
      <w:marLeft w:val="0"/>
      <w:marRight w:val="0"/>
      <w:marTop w:val="0"/>
      <w:marBottom w:val="0"/>
      <w:divBdr>
        <w:top w:val="none" w:sz="0" w:space="0" w:color="auto"/>
        <w:left w:val="none" w:sz="0" w:space="0" w:color="auto"/>
        <w:bottom w:val="none" w:sz="0" w:space="0" w:color="auto"/>
        <w:right w:val="none" w:sz="0" w:space="0" w:color="auto"/>
      </w:divBdr>
      <w:divsChild>
        <w:div w:id="317391915">
          <w:marLeft w:val="360"/>
          <w:marRight w:val="0"/>
          <w:marTop w:val="40"/>
          <w:marBottom w:val="0"/>
          <w:divBdr>
            <w:top w:val="none" w:sz="0" w:space="0" w:color="auto"/>
            <w:left w:val="none" w:sz="0" w:space="0" w:color="auto"/>
            <w:bottom w:val="none" w:sz="0" w:space="0" w:color="auto"/>
            <w:right w:val="none" w:sz="0" w:space="0" w:color="auto"/>
          </w:divBdr>
        </w:div>
        <w:div w:id="1134063302">
          <w:marLeft w:val="360"/>
          <w:marRight w:val="0"/>
          <w:marTop w:val="40"/>
          <w:marBottom w:val="0"/>
          <w:divBdr>
            <w:top w:val="none" w:sz="0" w:space="0" w:color="auto"/>
            <w:left w:val="none" w:sz="0" w:space="0" w:color="auto"/>
            <w:bottom w:val="none" w:sz="0" w:space="0" w:color="auto"/>
            <w:right w:val="none" w:sz="0" w:space="0" w:color="auto"/>
          </w:divBdr>
        </w:div>
      </w:divsChild>
    </w:div>
    <w:div w:id="1200973341">
      <w:bodyDiv w:val="1"/>
      <w:marLeft w:val="0"/>
      <w:marRight w:val="0"/>
      <w:marTop w:val="0"/>
      <w:marBottom w:val="0"/>
      <w:divBdr>
        <w:top w:val="none" w:sz="0" w:space="0" w:color="auto"/>
        <w:left w:val="none" w:sz="0" w:space="0" w:color="auto"/>
        <w:bottom w:val="none" w:sz="0" w:space="0" w:color="auto"/>
        <w:right w:val="none" w:sz="0" w:space="0" w:color="auto"/>
      </w:divBdr>
    </w:div>
    <w:div w:id="1215699450">
      <w:bodyDiv w:val="1"/>
      <w:marLeft w:val="0"/>
      <w:marRight w:val="0"/>
      <w:marTop w:val="0"/>
      <w:marBottom w:val="0"/>
      <w:divBdr>
        <w:top w:val="none" w:sz="0" w:space="0" w:color="auto"/>
        <w:left w:val="none" w:sz="0" w:space="0" w:color="auto"/>
        <w:bottom w:val="none" w:sz="0" w:space="0" w:color="auto"/>
        <w:right w:val="none" w:sz="0" w:space="0" w:color="auto"/>
      </w:divBdr>
    </w:div>
    <w:div w:id="1220901119">
      <w:bodyDiv w:val="1"/>
      <w:marLeft w:val="0"/>
      <w:marRight w:val="0"/>
      <w:marTop w:val="0"/>
      <w:marBottom w:val="0"/>
      <w:divBdr>
        <w:top w:val="none" w:sz="0" w:space="0" w:color="auto"/>
        <w:left w:val="none" w:sz="0" w:space="0" w:color="auto"/>
        <w:bottom w:val="none" w:sz="0" w:space="0" w:color="auto"/>
        <w:right w:val="none" w:sz="0" w:space="0" w:color="auto"/>
      </w:divBdr>
      <w:divsChild>
        <w:div w:id="1612397954">
          <w:marLeft w:val="0"/>
          <w:marRight w:val="0"/>
          <w:marTop w:val="0"/>
          <w:marBottom w:val="0"/>
          <w:divBdr>
            <w:top w:val="none" w:sz="0" w:space="0" w:color="auto"/>
            <w:left w:val="none" w:sz="0" w:space="0" w:color="auto"/>
            <w:bottom w:val="none" w:sz="0" w:space="0" w:color="auto"/>
            <w:right w:val="none" w:sz="0" w:space="0" w:color="auto"/>
          </w:divBdr>
          <w:divsChild>
            <w:div w:id="593442128">
              <w:marLeft w:val="0"/>
              <w:marRight w:val="0"/>
              <w:marTop w:val="0"/>
              <w:marBottom w:val="0"/>
              <w:divBdr>
                <w:top w:val="none" w:sz="0" w:space="0" w:color="auto"/>
                <w:left w:val="none" w:sz="0" w:space="0" w:color="auto"/>
                <w:bottom w:val="none" w:sz="0" w:space="0" w:color="auto"/>
                <w:right w:val="none" w:sz="0" w:space="0" w:color="auto"/>
              </w:divBdr>
              <w:divsChild>
                <w:div w:id="3050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17451">
      <w:bodyDiv w:val="1"/>
      <w:marLeft w:val="0"/>
      <w:marRight w:val="0"/>
      <w:marTop w:val="0"/>
      <w:marBottom w:val="0"/>
      <w:divBdr>
        <w:top w:val="none" w:sz="0" w:space="0" w:color="auto"/>
        <w:left w:val="none" w:sz="0" w:space="0" w:color="auto"/>
        <w:bottom w:val="none" w:sz="0" w:space="0" w:color="auto"/>
        <w:right w:val="none" w:sz="0" w:space="0" w:color="auto"/>
      </w:divBdr>
    </w:div>
    <w:div w:id="1240989850">
      <w:bodyDiv w:val="1"/>
      <w:marLeft w:val="0"/>
      <w:marRight w:val="0"/>
      <w:marTop w:val="0"/>
      <w:marBottom w:val="0"/>
      <w:divBdr>
        <w:top w:val="none" w:sz="0" w:space="0" w:color="auto"/>
        <w:left w:val="none" w:sz="0" w:space="0" w:color="auto"/>
        <w:bottom w:val="none" w:sz="0" w:space="0" w:color="auto"/>
        <w:right w:val="none" w:sz="0" w:space="0" w:color="auto"/>
      </w:divBdr>
      <w:divsChild>
        <w:div w:id="100034135">
          <w:marLeft w:val="0"/>
          <w:marRight w:val="0"/>
          <w:marTop w:val="0"/>
          <w:marBottom w:val="0"/>
          <w:divBdr>
            <w:top w:val="none" w:sz="0" w:space="0" w:color="auto"/>
            <w:left w:val="none" w:sz="0" w:space="0" w:color="auto"/>
            <w:bottom w:val="none" w:sz="0" w:space="0" w:color="auto"/>
            <w:right w:val="none" w:sz="0" w:space="0" w:color="auto"/>
          </w:divBdr>
          <w:divsChild>
            <w:div w:id="1888369298">
              <w:marLeft w:val="0"/>
              <w:marRight w:val="0"/>
              <w:marTop w:val="0"/>
              <w:marBottom w:val="0"/>
              <w:divBdr>
                <w:top w:val="none" w:sz="0" w:space="0" w:color="auto"/>
                <w:left w:val="none" w:sz="0" w:space="0" w:color="auto"/>
                <w:bottom w:val="none" w:sz="0" w:space="0" w:color="auto"/>
                <w:right w:val="none" w:sz="0" w:space="0" w:color="auto"/>
              </w:divBdr>
              <w:divsChild>
                <w:div w:id="1862473726">
                  <w:marLeft w:val="0"/>
                  <w:marRight w:val="0"/>
                  <w:marTop w:val="0"/>
                  <w:marBottom w:val="0"/>
                  <w:divBdr>
                    <w:top w:val="none" w:sz="0" w:space="0" w:color="auto"/>
                    <w:left w:val="none" w:sz="0" w:space="0" w:color="auto"/>
                    <w:bottom w:val="none" w:sz="0" w:space="0" w:color="auto"/>
                    <w:right w:val="none" w:sz="0" w:space="0" w:color="auto"/>
                  </w:divBdr>
                  <w:divsChild>
                    <w:div w:id="20524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5024">
      <w:bodyDiv w:val="1"/>
      <w:marLeft w:val="0"/>
      <w:marRight w:val="0"/>
      <w:marTop w:val="0"/>
      <w:marBottom w:val="0"/>
      <w:divBdr>
        <w:top w:val="none" w:sz="0" w:space="0" w:color="auto"/>
        <w:left w:val="none" w:sz="0" w:space="0" w:color="auto"/>
        <w:bottom w:val="none" w:sz="0" w:space="0" w:color="auto"/>
        <w:right w:val="none" w:sz="0" w:space="0" w:color="auto"/>
      </w:divBdr>
      <w:divsChild>
        <w:div w:id="448477163">
          <w:marLeft w:val="0"/>
          <w:marRight w:val="0"/>
          <w:marTop w:val="0"/>
          <w:marBottom w:val="0"/>
          <w:divBdr>
            <w:top w:val="none" w:sz="0" w:space="0" w:color="auto"/>
            <w:left w:val="none" w:sz="0" w:space="0" w:color="auto"/>
            <w:bottom w:val="none" w:sz="0" w:space="0" w:color="auto"/>
            <w:right w:val="none" w:sz="0" w:space="0" w:color="auto"/>
          </w:divBdr>
          <w:divsChild>
            <w:div w:id="802504302">
              <w:marLeft w:val="0"/>
              <w:marRight w:val="0"/>
              <w:marTop w:val="0"/>
              <w:marBottom w:val="0"/>
              <w:divBdr>
                <w:top w:val="none" w:sz="0" w:space="0" w:color="auto"/>
                <w:left w:val="none" w:sz="0" w:space="0" w:color="auto"/>
                <w:bottom w:val="none" w:sz="0" w:space="0" w:color="auto"/>
                <w:right w:val="none" w:sz="0" w:space="0" w:color="auto"/>
              </w:divBdr>
              <w:divsChild>
                <w:div w:id="18183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6557">
      <w:bodyDiv w:val="1"/>
      <w:marLeft w:val="0"/>
      <w:marRight w:val="0"/>
      <w:marTop w:val="0"/>
      <w:marBottom w:val="0"/>
      <w:divBdr>
        <w:top w:val="none" w:sz="0" w:space="0" w:color="auto"/>
        <w:left w:val="none" w:sz="0" w:space="0" w:color="auto"/>
        <w:bottom w:val="none" w:sz="0" w:space="0" w:color="auto"/>
        <w:right w:val="none" w:sz="0" w:space="0" w:color="auto"/>
      </w:divBdr>
    </w:div>
    <w:div w:id="1273514627">
      <w:bodyDiv w:val="1"/>
      <w:marLeft w:val="0"/>
      <w:marRight w:val="0"/>
      <w:marTop w:val="0"/>
      <w:marBottom w:val="0"/>
      <w:divBdr>
        <w:top w:val="none" w:sz="0" w:space="0" w:color="auto"/>
        <w:left w:val="none" w:sz="0" w:space="0" w:color="auto"/>
        <w:bottom w:val="none" w:sz="0" w:space="0" w:color="auto"/>
        <w:right w:val="none" w:sz="0" w:space="0" w:color="auto"/>
      </w:divBdr>
      <w:divsChild>
        <w:div w:id="1991709746">
          <w:marLeft w:val="0"/>
          <w:marRight w:val="0"/>
          <w:marTop w:val="0"/>
          <w:marBottom w:val="0"/>
          <w:divBdr>
            <w:top w:val="none" w:sz="0" w:space="0" w:color="auto"/>
            <w:left w:val="none" w:sz="0" w:space="0" w:color="auto"/>
            <w:bottom w:val="none" w:sz="0" w:space="0" w:color="auto"/>
            <w:right w:val="none" w:sz="0" w:space="0" w:color="auto"/>
          </w:divBdr>
          <w:divsChild>
            <w:div w:id="1514488186">
              <w:marLeft w:val="0"/>
              <w:marRight w:val="0"/>
              <w:marTop w:val="0"/>
              <w:marBottom w:val="0"/>
              <w:divBdr>
                <w:top w:val="none" w:sz="0" w:space="0" w:color="auto"/>
                <w:left w:val="none" w:sz="0" w:space="0" w:color="auto"/>
                <w:bottom w:val="none" w:sz="0" w:space="0" w:color="auto"/>
                <w:right w:val="none" w:sz="0" w:space="0" w:color="auto"/>
              </w:divBdr>
              <w:divsChild>
                <w:div w:id="10380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9203">
      <w:bodyDiv w:val="1"/>
      <w:marLeft w:val="0"/>
      <w:marRight w:val="0"/>
      <w:marTop w:val="0"/>
      <w:marBottom w:val="0"/>
      <w:divBdr>
        <w:top w:val="none" w:sz="0" w:space="0" w:color="auto"/>
        <w:left w:val="none" w:sz="0" w:space="0" w:color="auto"/>
        <w:bottom w:val="none" w:sz="0" w:space="0" w:color="auto"/>
        <w:right w:val="none" w:sz="0" w:space="0" w:color="auto"/>
      </w:divBdr>
    </w:div>
    <w:div w:id="1286080678">
      <w:bodyDiv w:val="1"/>
      <w:marLeft w:val="0"/>
      <w:marRight w:val="0"/>
      <w:marTop w:val="0"/>
      <w:marBottom w:val="0"/>
      <w:divBdr>
        <w:top w:val="none" w:sz="0" w:space="0" w:color="auto"/>
        <w:left w:val="none" w:sz="0" w:space="0" w:color="auto"/>
        <w:bottom w:val="none" w:sz="0" w:space="0" w:color="auto"/>
        <w:right w:val="none" w:sz="0" w:space="0" w:color="auto"/>
      </w:divBdr>
    </w:div>
    <w:div w:id="1324236309">
      <w:bodyDiv w:val="1"/>
      <w:marLeft w:val="0"/>
      <w:marRight w:val="0"/>
      <w:marTop w:val="0"/>
      <w:marBottom w:val="0"/>
      <w:divBdr>
        <w:top w:val="none" w:sz="0" w:space="0" w:color="auto"/>
        <w:left w:val="none" w:sz="0" w:space="0" w:color="auto"/>
        <w:bottom w:val="none" w:sz="0" w:space="0" w:color="auto"/>
        <w:right w:val="none" w:sz="0" w:space="0" w:color="auto"/>
      </w:divBdr>
    </w:div>
    <w:div w:id="1330139614">
      <w:bodyDiv w:val="1"/>
      <w:marLeft w:val="0"/>
      <w:marRight w:val="0"/>
      <w:marTop w:val="0"/>
      <w:marBottom w:val="0"/>
      <w:divBdr>
        <w:top w:val="none" w:sz="0" w:space="0" w:color="auto"/>
        <w:left w:val="none" w:sz="0" w:space="0" w:color="auto"/>
        <w:bottom w:val="none" w:sz="0" w:space="0" w:color="auto"/>
        <w:right w:val="none" w:sz="0" w:space="0" w:color="auto"/>
      </w:divBdr>
    </w:div>
    <w:div w:id="1337341901">
      <w:bodyDiv w:val="1"/>
      <w:marLeft w:val="0"/>
      <w:marRight w:val="0"/>
      <w:marTop w:val="0"/>
      <w:marBottom w:val="0"/>
      <w:divBdr>
        <w:top w:val="none" w:sz="0" w:space="0" w:color="auto"/>
        <w:left w:val="none" w:sz="0" w:space="0" w:color="auto"/>
        <w:bottom w:val="none" w:sz="0" w:space="0" w:color="auto"/>
        <w:right w:val="none" w:sz="0" w:space="0" w:color="auto"/>
      </w:divBdr>
    </w:div>
    <w:div w:id="1338070172">
      <w:bodyDiv w:val="1"/>
      <w:marLeft w:val="0"/>
      <w:marRight w:val="0"/>
      <w:marTop w:val="0"/>
      <w:marBottom w:val="0"/>
      <w:divBdr>
        <w:top w:val="none" w:sz="0" w:space="0" w:color="auto"/>
        <w:left w:val="none" w:sz="0" w:space="0" w:color="auto"/>
        <w:bottom w:val="none" w:sz="0" w:space="0" w:color="auto"/>
        <w:right w:val="none" w:sz="0" w:space="0" w:color="auto"/>
      </w:divBdr>
    </w:div>
    <w:div w:id="1354837969">
      <w:bodyDiv w:val="1"/>
      <w:marLeft w:val="0"/>
      <w:marRight w:val="0"/>
      <w:marTop w:val="0"/>
      <w:marBottom w:val="0"/>
      <w:divBdr>
        <w:top w:val="none" w:sz="0" w:space="0" w:color="auto"/>
        <w:left w:val="none" w:sz="0" w:space="0" w:color="auto"/>
        <w:bottom w:val="none" w:sz="0" w:space="0" w:color="auto"/>
        <w:right w:val="none" w:sz="0" w:space="0" w:color="auto"/>
      </w:divBdr>
    </w:div>
    <w:div w:id="1357536453">
      <w:bodyDiv w:val="1"/>
      <w:marLeft w:val="0"/>
      <w:marRight w:val="0"/>
      <w:marTop w:val="0"/>
      <w:marBottom w:val="0"/>
      <w:divBdr>
        <w:top w:val="none" w:sz="0" w:space="0" w:color="auto"/>
        <w:left w:val="none" w:sz="0" w:space="0" w:color="auto"/>
        <w:bottom w:val="none" w:sz="0" w:space="0" w:color="auto"/>
        <w:right w:val="none" w:sz="0" w:space="0" w:color="auto"/>
      </w:divBdr>
      <w:divsChild>
        <w:div w:id="204369396">
          <w:marLeft w:val="0"/>
          <w:marRight w:val="0"/>
          <w:marTop w:val="0"/>
          <w:marBottom w:val="0"/>
          <w:divBdr>
            <w:top w:val="none" w:sz="0" w:space="0" w:color="auto"/>
            <w:left w:val="none" w:sz="0" w:space="0" w:color="auto"/>
            <w:bottom w:val="none" w:sz="0" w:space="0" w:color="auto"/>
            <w:right w:val="none" w:sz="0" w:space="0" w:color="auto"/>
          </w:divBdr>
          <w:divsChild>
            <w:div w:id="1708991134">
              <w:marLeft w:val="0"/>
              <w:marRight w:val="0"/>
              <w:marTop w:val="0"/>
              <w:marBottom w:val="0"/>
              <w:divBdr>
                <w:top w:val="none" w:sz="0" w:space="0" w:color="auto"/>
                <w:left w:val="none" w:sz="0" w:space="0" w:color="auto"/>
                <w:bottom w:val="none" w:sz="0" w:space="0" w:color="auto"/>
                <w:right w:val="none" w:sz="0" w:space="0" w:color="auto"/>
              </w:divBdr>
              <w:divsChild>
                <w:div w:id="5831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7514">
      <w:bodyDiv w:val="1"/>
      <w:marLeft w:val="0"/>
      <w:marRight w:val="0"/>
      <w:marTop w:val="0"/>
      <w:marBottom w:val="0"/>
      <w:divBdr>
        <w:top w:val="none" w:sz="0" w:space="0" w:color="auto"/>
        <w:left w:val="none" w:sz="0" w:space="0" w:color="auto"/>
        <w:bottom w:val="none" w:sz="0" w:space="0" w:color="auto"/>
        <w:right w:val="none" w:sz="0" w:space="0" w:color="auto"/>
      </w:divBdr>
    </w:div>
    <w:div w:id="1364133907">
      <w:bodyDiv w:val="1"/>
      <w:marLeft w:val="0"/>
      <w:marRight w:val="0"/>
      <w:marTop w:val="0"/>
      <w:marBottom w:val="0"/>
      <w:divBdr>
        <w:top w:val="none" w:sz="0" w:space="0" w:color="auto"/>
        <w:left w:val="none" w:sz="0" w:space="0" w:color="auto"/>
        <w:bottom w:val="none" w:sz="0" w:space="0" w:color="auto"/>
        <w:right w:val="none" w:sz="0" w:space="0" w:color="auto"/>
      </w:divBdr>
    </w:div>
    <w:div w:id="1396661390">
      <w:bodyDiv w:val="1"/>
      <w:marLeft w:val="0"/>
      <w:marRight w:val="0"/>
      <w:marTop w:val="0"/>
      <w:marBottom w:val="0"/>
      <w:divBdr>
        <w:top w:val="none" w:sz="0" w:space="0" w:color="auto"/>
        <w:left w:val="none" w:sz="0" w:space="0" w:color="auto"/>
        <w:bottom w:val="none" w:sz="0" w:space="0" w:color="auto"/>
        <w:right w:val="none" w:sz="0" w:space="0" w:color="auto"/>
      </w:divBdr>
    </w:div>
    <w:div w:id="1411078325">
      <w:bodyDiv w:val="1"/>
      <w:marLeft w:val="0"/>
      <w:marRight w:val="0"/>
      <w:marTop w:val="0"/>
      <w:marBottom w:val="0"/>
      <w:divBdr>
        <w:top w:val="none" w:sz="0" w:space="0" w:color="auto"/>
        <w:left w:val="none" w:sz="0" w:space="0" w:color="auto"/>
        <w:bottom w:val="none" w:sz="0" w:space="0" w:color="auto"/>
        <w:right w:val="none" w:sz="0" w:space="0" w:color="auto"/>
      </w:divBdr>
    </w:div>
    <w:div w:id="1473787576">
      <w:bodyDiv w:val="1"/>
      <w:marLeft w:val="0"/>
      <w:marRight w:val="0"/>
      <w:marTop w:val="0"/>
      <w:marBottom w:val="0"/>
      <w:divBdr>
        <w:top w:val="none" w:sz="0" w:space="0" w:color="auto"/>
        <w:left w:val="none" w:sz="0" w:space="0" w:color="auto"/>
        <w:bottom w:val="none" w:sz="0" w:space="0" w:color="auto"/>
        <w:right w:val="none" w:sz="0" w:space="0" w:color="auto"/>
      </w:divBdr>
    </w:div>
    <w:div w:id="1515800351">
      <w:bodyDiv w:val="1"/>
      <w:marLeft w:val="0"/>
      <w:marRight w:val="0"/>
      <w:marTop w:val="0"/>
      <w:marBottom w:val="0"/>
      <w:divBdr>
        <w:top w:val="none" w:sz="0" w:space="0" w:color="auto"/>
        <w:left w:val="none" w:sz="0" w:space="0" w:color="auto"/>
        <w:bottom w:val="none" w:sz="0" w:space="0" w:color="auto"/>
        <w:right w:val="none" w:sz="0" w:space="0" w:color="auto"/>
      </w:divBdr>
      <w:divsChild>
        <w:div w:id="377317619">
          <w:marLeft w:val="0"/>
          <w:marRight w:val="0"/>
          <w:marTop w:val="0"/>
          <w:marBottom w:val="0"/>
          <w:divBdr>
            <w:top w:val="none" w:sz="0" w:space="0" w:color="auto"/>
            <w:left w:val="none" w:sz="0" w:space="0" w:color="auto"/>
            <w:bottom w:val="none" w:sz="0" w:space="0" w:color="auto"/>
            <w:right w:val="none" w:sz="0" w:space="0" w:color="auto"/>
          </w:divBdr>
          <w:divsChild>
            <w:div w:id="740181034">
              <w:marLeft w:val="0"/>
              <w:marRight w:val="0"/>
              <w:marTop w:val="0"/>
              <w:marBottom w:val="0"/>
              <w:divBdr>
                <w:top w:val="none" w:sz="0" w:space="0" w:color="auto"/>
                <w:left w:val="none" w:sz="0" w:space="0" w:color="auto"/>
                <w:bottom w:val="none" w:sz="0" w:space="0" w:color="auto"/>
                <w:right w:val="none" w:sz="0" w:space="0" w:color="auto"/>
              </w:divBdr>
              <w:divsChild>
                <w:div w:id="8864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9044">
      <w:bodyDiv w:val="1"/>
      <w:marLeft w:val="0"/>
      <w:marRight w:val="0"/>
      <w:marTop w:val="0"/>
      <w:marBottom w:val="0"/>
      <w:divBdr>
        <w:top w:val="none" w:sz="0" w:space="0" w:color="auto"/>
        <w:left w:val="none" w:sz="0" w:space="0" w:color="auto"/>
        <w:bottom w:val="none" w:sz="0" w:space="0" w:color="auto"/>
        <w:right w:val="none" w:sz="0" w:space="0" w:color="auto"/>
      </w:divBdr>
    </w:div>
    <w:div w:id="1540318017">
      <w:bodyDiv w:val="1"/>
      <w:marLeft w:val="0"/>
      <w:marRight w:val="0"/>
      <w:marTop w:val="0"/>
      <w:marBottom w:val="0"/>
      <w:divBdr>
        <w:top w:val="none" w:sz="0" w:space="0" w:color="auto"/>
        <w:left w:val="none" w:sz="0" w:space="0" w:color="auto"/>
        <w:bottom w:val="none" w:sz="0" w:space="0" w:color="auto"/>
        <w:right w:val="none" w:sz="0" w:space="0" w:color="auto"/>
      </w:divBdr>
      <w:divsChild>
        <w:div w:id="601114001">
          <w:marLeft w:val="0"/>
          <w:marRight w:val="0"/>
          <w:marTop w:val="0"/>
          <w:marBottom w:val="0"/>
          <w:divBdr>
            <w:top w:val="none" w:sz="0" w:space="0" w:color="auto"/>
            <w:left w:val="none" w:sz="0" w:space="0" w:color="auto"/>
            <w:bottom w:val="none" w:sz="0" w:space="0" w:color="auto"/>
            <w:right w:val="none" w:sz="0" w:space="0" w:color="auto"/>
          </w:divBdr>
          <w:divsChild>
            <w:div w:id="857893836">
              <w:marLeft w:val="0"/>
              <w:marRight w:val="0"/>
              <w:marTop w:val="0"/>
              <w:marBottom w:val="0"/>
              <w:divBdr>
                <w:top w:val="none" w:sz="0" w:space="0" w:color="auto"/>
                <w:left w:val="none" w:sz="0" w:space="0" w:color="auto"/>
                <w:bottom w:val="none" w:sz="0" w:space="0" w:color="auto"/>
                <w:right w:val="none" w:sz="0" w:space="0" w:color="auto"/>
              </w:divBdr>
              <w:divsChild>
                <w:div w:id="505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4874">
      <w:bodyDiv w:val="1"/>
      <w:marLeft w:val="0"/>
      <w:marRight w:val="0"/>
      <w:marTop w:val="0"/>
      <w:marBottom w:val="0"/>
      <w:divBdr>
        <w:top w:val="none" w:sz="0" w:space="0" w:color="auto"/>
        <w:left w:val="none" w:sz="0" w:space="0" w:color="auto"/>
        <w:bottom w:val="none" w:sz="0" w:space="0" w:color="auto"/>
        <w:right w:val="none" w:sz="0" w:space="0" w:color="auto"/>
      </w:divBdr>
      <w:divsChild>
        <w:div w:id="1141768581">
          <w:marLeft w:val="0"/>
          <w:marRight w:val="0"/>
          <w:marTop w:val="0"/>
          <w:marBottom w:val="0"/>
          <w:divBdr>
            <w:top w:val="none" w:sz="0" w:space="0" w:color="auto"/>
            <w:left w:val="none" w:sz="0" w:space="0" w:color="auto"/>
            <w:bottom w:val="none" w:sz="0" w:space="0" w:color="auto"/>
            <w:right w:val="none" w:sz="0" w:space="0" w:color="auto"/>
          </w:divBdr>
          <w:divsChild>
            <w:div w:id="2015298008">
              <w:marLeft w:val="0"/>
              <w:marRight w:val="0"/>
              <w:marTop w:val="0"/>
              <w:marBottom w:val="0"/>
              <w:divBdr>
                <w:top w:val="none" w:sz="0" w:space="0" w:color="auto"/>
                <w:left w:val="none" w:sz="0" w:space="0" w:color="auto"/>
                <w:bottom w:val="none" w:sz="0" w:space="0" w:color="auto"/>
                <w:right w:val="none" w:sz="0" w:space="0" w:color="auto"/>
              </w:divBdr>
              <w:divsChild>
                <w:div w:id="12470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2313">
      <w:bodyDiv w:val="1"/>
      <w:marLeft w:val="0"/>
      <w:marRight w:val="0"/>
      <w:marTop w:val="0"/>
      <w:marBottom w:val="0"/>
      <w:divBdr>
        <w:top w:val="none" w:sz="0" w:space="0" w:color="auto"/>
        <w:left w:val="none" w:sz="0" w:space="0" w:color="auto"/>
        <w:bottom w:val="none" w:sz="0" w:space="0" w:color="auto"/>
        <w:right w:val="none" w:sz="0" w:space="0" w:color="auto"/>
      </w:divBdr>
      <w:divsChild>
        <w:div w:id="150099579">
          <w:marLeft w:val="0"/>
          <w:marRight w:val="0"/>
          <w:marTop w:val="0"/>
          <w:marBottom w:val="0"/>
          <w:divBdr>
            <w:top w:val="none" w:sz="0" w:space="0" w:color="auto"/>
            <w:left w:val="none" w:sz="0" w:space="0" w:color="auto"/>
            <w:bottom w:val="none" w:sz="0" w:space="0" w:color="auto"/>
            <w:right w:val="none" w:sz="0" w:space="0" w:color="auto"/>
          </w:divBdr>
          <w:divsChild>
            <w:div w:id="1884052607">
              <w:marLeft w:val="0"/>
              <w:marRight w:val="0"/>
              <w:marTop w:val="0"/>
              <w:marBottom w:val="0"/>
              <w:divBdr>
                <w:top w:val="none" w:sz="0" w:space="0" w:color="auto"/>
                <w:left w:val="none" w:sz="0" w:space="0" w:color="auto"/>
                <w:bottom w:val="none" w:sz="0" w:space="0" w:color="auto"/>
                <w:right w:val="none" w:sz="0" w:space="0" w:color="auto"/>
              </w:divBdr>
              <w:divsChild>
                <w:div w:id="14349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15144">
      <w:bodyDiv w:val="1"/>
      <w:marLeft w:val="0"/>
      <w:marRight w:val="0"/>
      <w:marTop w:val="0"/>
      <w:marBottom w:val="0"/>
      <w:divBdr>
        <w:top w:val="none" w:sz="0" w:space="0" w:color="auto"/>
        <w:left w:val="none" w:sz="0" w:space="0" w:color="auto"/>
        <w:bottom w:val="none" w:sz="0" w:space="0" w:color="auto"/>
        <w:right w:val="none" w:sz="0" w:space="0" w:color="auto"/>
      </w:divBdr>
    </w:div>
    <w:div w:id="1564557115">
      <w:bodyDiv w:val="1"/>
      <w:marLeft w:val="0"/>
      <w:marRight w:val="0"/>
      <w:marTop w:val="0"/>
      <w:marBottom w:val="0"/>
      <w:divBdr>
        <w:top w:val="none" w:sz="0" w:space="0" w:color="auto"/>
        <w:left w:val="none" w:sz="0" w:space="0" w:color="auto"/>
        <w:bottom w:val="none" w:sz="0" w:space="0" w:color="auto"/>
        <w:right w:val="none" w:sz="0" w:space="0" w:color="auto"/>
      </w:divBdr>
    </w:div>
    <w:div w:id="1574776996">
      <w:bodyDiv w:val="1"/>
      <w:marLeft w:val="0"/>
      <w:marRight w:val="0"/>
      <w:marTop w:val="0"/>
      <w:marBottom w:val="0"/>
      <w:divBdr>
        <w:top w:val="none" w:sz="0" w:space="0" w:color="auto"/>
        <w:left w:val="none" w:sz="0" w:space="0" w:color="auto"/>
        <w:bottom w:val="none" w:sz="0" w:space="0" w:color="auto"/>
        <w:right w:val="none" w:sz="0" w:space="0" w:color="auto"/>
      </w:divBdr>
    </w:div>
    <w:div w:id="1578132286">
      <w:bodyDiv w:val="1"/>
      <w:marLeft w:val="0"/>
      <w:marRight w:val="0"/>
      <w:marTop w:val="0"/>
      <w:marBottom w:val="0"/>
      <w:divBdr>
        <w:top w:val="none" w:sz="0" w:space="0" w:color="auto"/>
        <w:left w:val="none" w:sz="0" w:space="0" w:color="auto"/>
        <w:bottom w:val="none" w:sz="0" w:space="0" w:color="auto"/>
        <w:right w:val="none" w:sz="0" w:space="0" w:color="auto"/>
      </w:divBdr>
    </w:div>
    <w:div w:id="1581062368">
      <w:bodyDiv w:val="1"/>
      <w:marLeft w:val="0"/>
      <w:marRight w:val="0"/>
      <w:marTop w:val="0"/>
      <w:marBottom w:val="0"/>
      <w:divBdr>
        <w:top w:val="none" w:sz="0" w:space="0" w:color="auto"/>
        <w:left w:val="none" w:sz="0" w:space="0" w:color="auto"/>
        <w:bottom w:val="none" w:sz="0" w:space="0" w:color="auto"/>
        <w:right w:val="none" w:sz="0" w:space="0" w:color="auto"/>
      </w:divBdr>
    </w:div>
    <w:div w:id="1593472574">
      <w:bodyDiv w:val="1"/>
      <w:marLeft w:val="0"/>
      <w:marRight w:val="0"/>
      <w:marTop w:val="0"/>
      <w:marBottom w:val="0"/>
      <w:divBdr>
        <w:top w:val="none" w:sz="0" w:space="0" w:color="auto"/>
        <w:left w:val="none" w:sz="0" w:space="0" w:color="auto"/>
        <w:bottom w:val="none" w:sz="0" w:space="0" w:color="auto"/>
        <w:right w:val="none" w:sz="0" w:space="0" w:color="auto"/>
      </w:divBdr>
    </w:div>
    <w:div w:id="1655911019">
      <w:bodyDiv w:val="1"/>
      <w:marLeft w:val="0"/>
      <w:marRight w:val="0"/>
      <w:marTop w:val="0"/>
      <w:marBottom w:val="0"/>
      <w:divBdr>
        <w:top w:val="none" w:sz="0" w:space="0" w:color="auto"/>
        <w:left w:val="none" w:sz="0" w:space="0" w:color="auto"/>
        <w:bottom w:val="none" w:sz="0" w:space="0" w:color="auto"/>
        <w:right w:val="none" w:sz="0" w:space="0" w:color="auto"/>
      </w:divBdr>
    </w:div>
    <w:div w:id="1666783376">
      <w:bodyDiv w:val="1"/>
      <w:marLeft w:val="0"/>
      <w:marRight w:val="0"/>
      <w:marTop w:val="0"/>
      <w:marBottom w:val="0"/>
      <w:divBdr>
        <w:top w:val="none" w:sz="0" w:space="0" w:color="auto"/>
        <w:left w:val="none" w:sz="0" w:space="0" w:color="auto"/>
        <w:bottom w:val="none" w:sz="0" w:space="0" w:color="auto"/>
        <w:right w:val="none" w:sz="0" w:space="0" w:color="auto"/>
      </w:divBdr>
    </w:div>
    <w:div w:id="1674722048">
      <w:bodyDiv w:val="1"/>
      <w:marLeft w:val="0"/>
      <w:marRight w:val="0"/>
      <w:marTop w:val="0"/>
      <w:marBottom w:val="0"/>
      <w:divBdr>
        <w:top w:val="none" w:sz="0" w:space="0" w:color="auto"/>
        <w:left w:val="none" w:sz="0" w:space="0" w:color="auto"/>
        <w:bottom w:val="none" w:sz="0" w:space="0" w:color="auto"/>
        <w:right w:val="none" w:sz="0" w:space="0" w:color="auto"/>
      </w:divBdr>
    </w:div>
    <w:div w:id="1679691290">
      <w:bodyDiv w:val="1"/>
      <w:marLeft w:val="0"/>
      <w:marRight w:val="0"/>
      <w:marTop w:val="0"/>
      <w:marBottom w:val="0"/>
      <w:divBdr>
        <w:top w:val="none" w:sz="0" w:space="0" w:color="auto"/>
        <w:left w:val="none" w:sz="0" w:space="0" w:color="auto"/>
        <w:bottom w:val="none" w:sz="0" w:space="0" w:color="auto"/>
        <w:right w:val="none" w:sz="0" w:space="0" w:color="auto"/>
      </w:divBdr>
    </w:div>
    <w:div w:id="1696032798">
      <w:bodyDiv w:val="1"/>
      <w:marLeft w:val="0"/>
      <w:marRight w:val="0"/>
      <w:marTop w:val="0"/>
      <w:marBottom w:val="0"/>
      <w:divBdr>
        <w:top w:val="none" w:sz="0" w:space="0" w:color="auto"/>
        <w:left w:val="none" w:sz="0" w:space="0" w:color="auto"/>
        <w:bottom w:val="none" w:sz="0" w:space="0" w:color="auto"/>
        <w:right w:val="none" w:sz="0" w:space="0" w:color="auto"/>
      </w:divBdr>
    </w:div>
    <w:div w:id="1698236877">
      <w:bodyDiv w:val="1"/>
      <w:marLeft w:val="0"/>
      <w:marRight w:val="0"/>
      <w:marTop w:val="0"/>
      <w:marBottom w:val="0"/>
      <w:divBdr>
        <w:top w:val="none" w:sz="0" w:space="0" w:color="auto"/>
        <w:left w:val="none" w:sz="0" w:space="0" w:color="auto"/>
        <w:bottom w:val="none" w:sz="0" w:space="0" w:color="auto"/>
        <w:right w:val="none" w:sz="0" w:space="0" w:color="auto"/>
      </w:divBdr>
      <w:divsChild>
        <w:div w:id="796794801">
          <w:marLeft w:val="0"/>
          <w:marRight w:val="0"/>
          <w:marTop w:val="0"/>
          <w:marBottom w:val="0"/>
          <w:divBdr>
            <w:top w:val="none" w:sz="0" w:space="0" w:color="auto"/>
            <w:left w:val="none" w:sz="0" w:space="0" w:color="auto"/>
            <w:bottom w:val="none" w:sz="0" w:space="0" w:color="auto"/>
            <w:right w:val="none" w:sz="0" w:space="0" w:color="auto"/>
          </w:divBdr>
          <w:divsChild>
            <w:div w:id="41095607">
              <w:marLeft w:val="0"/>
              <w:marRight w:val="0"/>
              <w:marTop w:val="0"/>
              <w:marBottom w:val="0"/>
              <w:divBdr>
                <w:top w:val="none" w:sz="0" w:space="0" w:color="auto"/>
                <w:left w:val="none" w:sz="0" w:space="0" w:color="auto"/>
                <w:bottom w:val="none" w:sz="0" w:space="0" w:color="auto"/>
                <w:right w:val="none" w:sz="0" w:space="0" w:color="auto"/>
              </w:divBdr>
              <w:divsChild>
                <w:div w:id="1136679402">
                  <w:marLeft w:val="0"/>
                  <w:marRight w:val="0"/>
                  <w:marTop w:val="0"/>
                  <w:marBottom w:val="0"/>
                  <w:divBdr>
                    <w:top w:val="none" w:sz="0" w:space="0" w:color="auto"/>
                    <w:left w:val="none" w:sz="0" w:space="0" w:color="auto"/>
                    <w:bottom w:val="none" w:sz="0" w:space="0" w:color="auto"/>
                    <w:right w:val="none" w:sz="0" w:space="0" w:color="auto"/>
                  </w:divBdr>
                  <w:divsChild>
                    <w:div w:id="60732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27785">
      <w:bodyDiv w:val="1"/>
      <w:marLeft w:val="0"/>
      <w:marRight w:val="0"/>
      <w:marTop w:val="0"/>
      <w:marBottom w:val="0"/>
      <w:divBdr>
        <w:top w:val="none" w:sz="0" w:space="0" w:color="auto"/>
        <w:left w:val="none" w:sz="0" w:space="0" w:color="auto"/>
        <w:bottom w:val="none" w:sz="0" w:space="0" w:color="auto"/>
        <w:right w:val="none" w:sz="0" w:space="0" w:color="auto"/>
      </w:divBdr>
    </w:div>
    <w:div w:id="1701542993">
      <w:bodyDiv w:val="1"/>
      <w:marLeft w:val="0"/>
      <w:marRight w:val="0"/>
      <w:marTop w:val="0"/>
      <w:marBottom w:val="0"/>
      <w:divBdr>
        <w:top w:val="none" w:sz="0" w:space="0" w:color="auto"/>
        <w:left w:val="none" w:sz="0" w:space="0" w:color="auto"/>
        <w:bottom w:val="none" w:sz="0" w:space="0" w:color="auto"/>
        <w:right w:val="none" w:sz="0" w:space="0" w:color="auto"/>
      </w:divBdr>
      <w:divsChild>
        <w:div w:id="826091709">
          <w:marLeft w:val="0"/>
          <w:marRight w:val="0"/>
          <w:marTop w:val="0"/>
          <w:marBottom w:val="0"/>
          <w:divBdr>
            <w:top w:val="none" w:sz="0" w:space="0" w:color="auto"/>
            <w:left w:val="none" w:sz="0" w:space="0" w:color="auto"/>
            <w:bottom w:val="none" w:sz="0" w:space="0" w:color="auto"/>
            <w:right w:val="none" w:sz="0" w:space="0" w:color="auto"/>
          </w:divBdr>
          <w:divsChild>
            <w:div w:id="1933779922">
              <w:marLeft w:val="0"/>
              <w:marRight w:val="0"/>
              <w:marTop w:val="0"/>
              <w:marBottom w:val="0"/>
              <w:divBdr>
                <w:top w:val="none" w:sz="0" w:space="0" w:color="auto"/>
                <w:left w:val="none" w:sz="0" w:space="0" w:color="auto"/>
                <w:bottom w:val="none" w:sz="0" w:space="0" w:color="auto"/>
                <w:right w:val="none" w:sz="0" w:space="0" w:color="auto"/>
              </w:divBdr>
              <w:divsChild>
                <w:div w:id="12545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5193">
      <w:bodyDiv w:val="1"/>
      <w:marLeft w:val="0"/>
      <w:marRight w:val="0"/>
      <w:marTop w:val="0"/>
      <w:marBottom w:val="0"/>
      <w:divBdr>
        <w:top w:val="none" w:sz="0" w:space="0" w:color="auto"/>
        <w:left w:val="none" w:sz="0" w:space="0" w:color="auto"/>
        <w:bottom w:val="none" w:sz="0" w:space="0" w:color="auto"/>
        <w:right w:val="none" w:sz="0" w:space="0" w:color="auto"/>
      </w:divBdr>
      <w:divsChild>
        <w:div w:id="1106313772">
          <w:marLeft w:val="0"/>
          <w:marRight w:val="0"/>
          <w:marTop w:val="0"/>
          <w:marBottom w:val="0"/>
          <w:divBdr>
            <w:top w:val="none" w:sz="0" w:space="0" w:color="auto"/>
            <w:left w:val="none" w:sz="0" w:space="0" w:color="auto"/>
            <w:bottom w:val="none" w:sz="0" w:space="0" w:color="auto"/>
            <w:right w:val="none" w:sz="0" w:space="0" w:color="auto"/>
          </w:divBdr>
          <w:divsChild>
            <w:div w:id="512229708">
              <w:marLeft w:val="0"/>
              <w:marRight w:val="0"/>
              <w:marTop w:val="0"/>
              <w:marBottom w:val="0"/>
              <w:divBdr>
                <w:top w:val="none" w:sz="0" w:space="0" w:color="auto"/>
                <w:left w:val="none" w:sz="0" w:space="0" w:color="auto"/>
                <w:bottom w:val="none" w:sz="0" w:space="0" w:color="auto"/>
                <w:right w:val="none" w:sz="0" w:space="0" w:color="auto"/>
              </w:divBdr>
              <w:divsChild>
                <w:div w:id="18787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2199">
      <w:bodyDiv w:val="1"/>
      <w:marLeft w:val="0"/>
      <w:marRight w:val="0"/>
      <w:marTop w:val="0"/>
      <w:marBottom w:val="0"/>
      <w:divBdr>
        <w:top w:val="none" w:sz="0" w:space="0" w:color="auto"/>
        <w:left w:val="none" w:sz="0" w:space="0" w:color="auto"/>
        <w:bottom w:val="none" w:sz="0" w:space="0" w:color="auto"/>
        <w:right w:val="none" w:sz="0" w:space="0" w:color="auto"/>
      </w:divBdr>
      <w:divsChild>
        <w:div w:id="1257791894">
          <w:marLeft w:val="0"/>
          <w:marRight w:val="0"/>
          <w:marTop w:val="0"/>
          <w:marBottom w:val="0"/>
          <w:divBdr>
            <w:top w:val="none" w:sz="0" w:space="0" w:color="auto"/>
            <w:left w:val="none" w:sz="0" w:space="0" w:color="auto"/>
            <w:bottom w:val="none" w:sz="0" w:space="0" w:color="auto"/>
            <w:right w:val="none" w:sz="0" w:space="0" w:color="auto"/>
          </w:divBdr>
          <w:divsChild>
            <w:div w:id="1183663337">
              <w:marLeft w:val="0"/>
              <w:marRight w:val="0"/>
              <w:marTop w:val="0"/>
              <w:marBottom w:val="0"/>
              <w:divBdr>
                <w:top w:val="none" w:sz="0" w:space="0" w:color="auto"/>
                <w:left w:val="none" w:sz="0" w:space="0" w:color="auto"/>
                <w:bottom w:val="none" w:sz="0" w:space="0" w:color="auto"/>
                <w:right w:val="none" w:sz="0" w:space="0" w:color="auto"/>
              </w:divBdr>
              <w:divsChild>
                <w:div w:id="1673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2634">
      <w:bodyDiv w:val="1"/>
      <w:marLeft w:val="0"/>
      <w:marRight w:val="0"/>
      <w:marTop w:val="0"/>
      <w:marBottom w:val="0"/>
      <w:divBdr>
        <w:top w:val="none" w:sz="0" w:space="0" w:color="auto"/>
        <w:left w:val="none" w:sz="0" w:space="0" w:color="auto"/>
        <w:bottom w:val="none" w:sz="0" w:space="0" w:color="auto"/>
        <w:right w:val="none" w:sz="0" w:space="0" w:color="auto"/>
      </w:divBdr>
      <w:divsChild>
        <w:div w:id="1811091830">
          <w:marLeft w:val="0"/>
          <w:marRight w:val="0"/>
          <w:marTop w:val="0"/>
          <w:marBottom w:val="0"/>
          <w:divBdr>
            <w:top w:val="none" w:sz="0" w:space="0" w:color="auto"/>
            <w:left w:val="none" w:sz="0" w:space="0" w:color="auto"/>
            <w:bottom w:val="none" w:sz="0" w:space="0" w:color="auto"/>
            <w:right w:val="none" w:sz="0" w:space="0" w:color="auto"/>
          </w:divBdr>
          <w:divsChild>
            <w:div w:id="1882860440">
              <w:marLeft w:val="0"/>
              <w:marRight w:val="0"/>
              <w:marTop w:val="0"/>
              <w:marBottom w:val="0"/>
              <w:divBdr>
                <w:top w:val="none" w:sz="0" w:space="0" w:color="auto"/>
                <w:left w:val="none" w:sz="0" w:space="0" w:color="auto"/>
                <w:bottom w:val="none" w:sz="0" w:space="0" w:color="auto"/>
                <w:right w:val="none" w:sz="0" w:space="0" w:color="auto"/>
              </w:divBdr>
              <w:divsChild>
                <w:div w:id="2013995437">
                  <w:marLeft w:val="0"/>
                  <w:marRight w:val="0"/>
                  <w:marTop w:val="0"/>
                  <w:marBottom w:val="0"/>
                  <w:divBdr>
                    <w:top w:val="none" w:sz="0" w:space="0" w:color="auto"/>
                    <w:left w:val="none" w:sz="0" w:space="0" w:color="auto"/>
                    <w:bottom w:val="none" w:sz="0" w:space="0" w:color="auto"/>
                    <w:right w:val="none" w:sz="0" w:space="0" w:color="auto"/>
                  </w:divBdr>
                  <w:divsChild>
                    <w:div w:id="5553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62361">
      <w:bodyDiv w:val="1"/>
      <w:marLeft w:val="0"/>
      <w:marRight w:val="0"/>
      <w:marTop w:val="0"/>
      <w:marBottom w:val="0"/>
      <w:divBdr>
        <w:top w:val="none" w:sz="0" w:space="0" w:color="auto"/>
        <w:left w:val="none" w:sz="0" w:space="0" w:color="auto"/>
        <w:bottom w:val="none" w:sz="0" w:space="0" w:color="auto"/>
        <w:right w:val="none" w:sz="0" w:space="0" w:color="auto"/>
      </w:divBdr>
    </w:div>
    <w:div w:id="1749309409">
      <w:bodyDiv w:val="1"/>
      <w:marLeft w:val="0"/>
      <w:marRight w:val="0"/>
      <w:marTop w:val="0"/>
      <w:marBottom w:val="0"/>
      <w:divBdr>
        <w:top w:val="none" w:sz="0" w:space="0" w:color="auto"/>
        <w:left w:val="none" w:sz="0" w:space="0" w:color="auto"/>
        <w:bottom w:val="none" w:sz="0" w:space="0" w:color="auto"/>
        <w:right w:val="none" w:sz="0" w:space="0" w:color="auto"/>
      </w:divBdr>
    </w:div>
    <w:div w:id="1783768911">
      <w:bodyDiv w:val="1"/>
      <w:marLeft w:val="0"/>
      <w:marRight w:val="0"/>
      <w:marTop w:val="0"/>
      <w:marBottom w:val="0"/>
      <w:divBdr>
        <w:top w:val="none" w:sz="0" w:space="0" w:color="auto"/>
        <w:left w:val="none" w:sz="0" w:space="0" w:color="auto"/>
        <w:bottom w:val="none" w:sz="0" w:space="0" w:color="auto"/>
        <w:right w:val="none" w:sz="0" w:space="0" w:color="auto"/>
      </w:divBdr>
    </w:div>
    <w:div w:id="1790391036">
      <w:bodyDiv w:val="1"/>
      <w:marLeft w:val="0"/>
      <w:marRight w:val="0"/>
      <w:marTop w:val="0"/>
      <w:marBottom w:val="0"/>
      <w:divBdr>
        <w:top w:val="none" w:sz="0" w:space="0" w:color="auto"/>
        <w:left w:val="none" w:sz="0" w:space="0" w:color="auto"/>
        <w:bottom w:val="none" w:sz="0" w:space="0" w:color="auto"/>
        <w:right w:val="none" w:sz="0" w:space="0" w:color="auto"/>
      </w:divBdr>
    </w:div>
    <w:div w:id="1819690009">
      <w:bodyDiv w:val="1"/>
      <w:marLeft w:val="0"/>
      <w:marRight w:val="0"/>
      <w:marTop w:val="0"/>
      <w:marBottom w:val="0"/>
      <w:divBdr>
        <w:top w:val="none" w:sz="0" w:space="0" w:color="auto"/>
        <w:left w:val="none" w:sz="0" w:space="0" w:color="auto"/>
        <w:bottom w:val="none" w:sz="0" w:space="0" w:color="auto"/>
        <w:right w:val="none" w:sz="0" w:space="0" w:color="auto"/>
      </w:divBdr>
      <w:divsChild>
        <w:div w:id="1308242877">
          <w:marLeft w:val="0"/>
          <w:marRight w:val="0"/>
          <w:marTop w:val="0"/>
          <w:marBottom w:val="0"/>
          <w:divBdr>
            <w:top w:val="none" w:sz="0" w:space="0" w:color="auto"/>
            <w:left w:val="none" w:sz="0" w:space="0" w:color="auto"/>
            <w:bottom w:val="none" w:sz="0" w:space="0" w:color="auto"/>
            <w:right w:val="none" w:sz="0" w:space="0" w:color="auto"/>
          </w:divBdr>
          <w:divsChild>
            <w:div w:id="1133016578">
              <w:marLeft w:val="0"/>
              <w:marRight w:val="0"/>
              <w:marTop w:val="0"/>
              <w:marBottom w:val="0"/>
              <w:divBdr>
                <w:top w:val="none" w:sz="0" w:space="0" w:color="auto"/>
                <w:left w:val="none" w:sz="0" w:space="0" w:color="auto"/>
                <w:bottom w:val="none" w:sz="0" w:space="0" w:color="auto"/>
                <w:right w:val="none" w:sz="0" w:space="0" w:color="auto"/>
              </w:divBdr>
              <w:divsChild>
                <w:div w:id="12947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7666">
      <w:bodyDiv w:val="1"/>
      <w:marLeft w:val="0"/>
      <w:marRight w:val="0"/>
      <w:marTop w:val="0"/>
      <w:marBottom w:val="0"/>
      <w:divBdr>
        <w:top w:val="none" w:sz="0" w:space="0" w:color="auto"/>
        <w:left w:val="none" w:sz="0" w:space="0" w:color="auto"/>
        <w:bottom w:val="none" w:sz="0" w:space="0" w:color="auto"/>
        <w:right w:val="none" w:sz="0" w:space="0" w:color="auto"/>
      </w:divBdr>
    </w:div>
    <w:div w:id="1842768493">
      <w:bodyDiv w:val="1"/>
      <w:marLeft w:val="0"/>
      <w:marRight w:val="0"/>
      <w:marTop w:val="0"/>
      <w:marBottom w:val="0"/>
      <w:divBdr>
        <w:top w:val="none" w:sz="0" w:space="0" w:color="auto"/>
        <w:left w:val="none" w:sz="0" w:space="0" w:color="auto"/>
        <w:bottom w:val="none" w:sz="0" w:space="0" w:color="auto"/>
        <w:right w:val="none" w:sz="0" w:space="0" w:color="auto"/>
      </w:divBdr>
    </w:div>
    <w:div w:id="1847985597">
      <w:bodyDiv w:val="1"/>
      <w:marLeft w:val="0"/>
      <w:marRight w:val="0"/>
      <w:marTop w:val="0"/>
      <w:marBottom w:val="0"/>
      <w:divBdr>
        <w:top w:val="none" w:sz="0" w:space="0" w:color="auto"/>
        <w:left w:val="none" w:sz="0" w:space="0" w:color="auto"/>
        <w:bottom w:val="none" w:sz="0" w:space="0" w:color="auto"/>
        <w:right w:val="none" w:sz="0" w:space="0" w:color="auto"/>
      </w:divBdr>
    </w:div>
    <w:div w:id="1907302527">
      <w:bodyDiv w:val="1"/>
      <w:marLeft w:val="0"/>
      <w:marRight w:val="0"/>
      <w:marTop w:val="0"/>
      <w:marBottom w:val="0"/>
      <w:divBdr>
        <w:top w:val="none" w:sz="0" w:space="0" w:color="auto"/>
        <w:left w:val="none" w:sz="0" w:space="0" w:color="auto"/>
        <w:bottom w:val="none" w:sz="0" w:space="0" w:color="auto"/>
        <w:right w:val="none" w:sz="0" w:space="0" w:color="auto"/>
      </w:divBdr>
    </w:div>
    <w:div w:id="1911770021">
      <w:bodyDiv w:val="1"/>
      <w:marLeft w:val="0"/>
      <w:marRight w:val="0"/>
      <w:marTop w:val="0"/>
      <w:marBottom w:val="0"/>
      <w:divBdr>
        <w:top w:val="none" w:sz="0" w:space="0" w:color="auto"/>
        <w:left w:val="none" w:sz="0" w:space="0" w:color="auto"/>
        <w:bottom w:val="none" w:sz="0" w:space="0" w:color="auto"/>
        <w:right w:val="none" w:sz="0" w:space="0" w:color="auto"/>
      </w:divBdr>
    </w:div>
    <w:div w:id="1953972418">
      <w:bodyDiv w:val="1"/>
      <w:marLeft w:val="0"/>
      <w:marRight w:val="0"/>
      <w:marTop w:val="0"/>
      <w:marBottom w:val="0"/>
      <w:divBdr>
        <w:top w:val="none" w:sz="0" w:space="0" w:color="auto"/>
        <w:left w:val="none" w:sz="0" w:space="0" w:color="auto"/>
        <w:bottom w:val="none" w:sz="0" w:space="0" w:color="auto"/>
        <w:right w:val="none" w:sz="0" w:space="0" w:color="auto"/>
      </w:divBdr>
      <w:divsChild>
        <w:div w:id="1365784556">
          <w:marLeft w:val="0"/>
          <w:marRight w:val="0"/>
          <w:marTop w:val="0"/>
          <w:marBottom w:val="0"/>
          <w:divBdr>
            <w:top w:val="none" w:sz="0" w:space="0" w:color="auto"/>
            <w:left w:val="none" w:sz="0" w:space="0" w:color="auto"/>
            <w:bottom w:val="none" w:sz="0" w:space="0" w:color="auto"/>
            <w:right w:val="none" w:sz="0" w:space="0" w:color="auto"/>
          </w:divBdr>
          <w:divsChild>
            <w:div w:id="146829088">
              <w:marLeft w:val="0"/>
              <w:marRight w:val="0"/>
              <w:marTop w:val="0"/>
              <w:marBottom w:val="0"/>
              <w:divBdr>
                <w:top w:val="none" w:sz="0" w:space="0" w:color="auto"/>
                <w:left w:val="none" w:sz="0" w:space="0" w:color="auto"/>
                <w:bottom w:val="none" w:sz="0" w:space="0" w:color="auto"/>
                <w:right w:val="none" w:sz="0" w:space="0" w:color="auto"/>
              </w:divBdr>
              <w:divsChild>
                <w:div w:id="13263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8130">
      <w:bodyDiv w:val="1"/>
      <w:marLeft w:val="0"/>
      <w:marRight w:val="0"/>
      <w:marTop w:val="0"/>
      <w:marBottom w:val="0"/>
      <w:divBdr>
        <w:top w:val="none" w:sz="0" w:space="0" w:color="auto"/>
        <w:left w:val="none" w:sz="0" w:space="0" w:color="auto"/>
        <w:bottom w:val="none" w:sz="0" w:space="0" w:color="auto"/>
        <w:right w:val="none" w:sz="0" w:space="0" w:color="auto"/>
      </w:divBdr>
      <w:divsChild>
        <w:div w:id="951592846">
          <w:marLeft w:val="0"/>
          <w:marRight w:val="0"/>
          <w:marTop w:val="0"/>
          <w:marBottom w:val="0"/>
          <w:divBdr>
            <w:top w:val="none" w:sz="0" w:space="0" w:color="auto"/>
            <w:left w:val="none" w:sz="0" w:space="0" w:color="auto"/>
            <w:bottom w:val="none" w:sz="0" w:space="0" w:color="auto"/>
            <w:right w:val="none" w:sz="0" w:space="0" w:color="auto"/>
          </w:divBdr>
          <w:divsChild>
            <w:div w:id="1843427004">
              <w:marLeft w:val="0"/>
              <w:marRight w:val="0"/>
              <w:marTop w:val="0"/>
              <w:marBottom w:val="0"/>
              <w:divBdr>
                <w:top w:val="none" w:sz="0" w:space="0" w:color="auto"/>
                <w:left w:val="none" w:sz="0" w:space="0" w:color="auto"/>
                <w:bottom w:val="none" w:sz="0" w:space="0" w:color="auto"/>
                <w:right w:val="none" w:sz="0" w:space="0" w:color="auto"/>
              </w:divBdr>
              <w:divsChild>
                <w:div w:id="6551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7148">
      <w:bodyDiv w:val="1"/>
      <w:marLeft w:val="0"/>
      <w:marRight w:val="0"/>
      <w:marTop w:val="0"/>
      <w:marBottom w:val="0"/>
      <w:divBdr>
        <w:top w:val="none" w:sz="0" w:space="0" w:color="auto"/>
        <w:left w:val="none" w:sz="0" w:space="0" w:color="auto"/>
        <w:bottom w:val="none" w:sz="0" w:space="0" w:color="auto"/>
        <w:right w:val="none" w:sz="0" w:space="0" w:color="auto"/>
      </w:divBdr>
    </w:div>
    <w:div w:id="2006857730">
      <w:bodyDiv w:val="1"/>
      <w:marLeft w:val="0"/>
      <w:marRight w:val="0"/>
      <w:marTop w:val="0"/>
      <w:marBottom w:val="0"/>
      <w:divBdr>
        <w:top w:val="none" w:sz="0" w:space="0" w:color="auto"/>
        <w:left w:val="none" w:sz="0" w:space="0" w:color="auto"/>
        <w:bottom w:val="none" w:sz="0" w:space="0" w:color="auto"/>
        <w:right w:val="none" w:sz="0" w:space="0" w:color="auto"/>
      </w:divBdr>
    </w:div>
    <w:div w:id="2033258832">
      <w:bodyDiv w:val="1"/>
      <w:marLeft w:val="0"/>
      <w:marRight w:val="0"/>
      <w:marTop w:val="0"/>
      <w:marBottom w:val="0"/>
      <w:divBdr>
        <w:top w:val="none" w:sz="0" w:space="0" w:color="auto"/>
        <w:left w:val="none" w:sz="0" w:space="0" w:color="auto"/>
        <w:bottom w:val="none" w:sz="0" w:space="0" w:color="auto"/>
        <w:right w:val="none" w:sz="0" w:space="0" w:color="auto"/>
      </w:divBdr>
      <w:divsChild>
        <w:div w:id="1357347108">
          <w:marLeft w:val="0"/>
          <w:marRight w:val="0"/>
          <w:marTop w:val="0"/>
          <w:marBottom w:val="0"/>
          <w:divBdr>
            <w:top w:val="none" w:sz="0" w:space="0" w:color="auto"/>
            <w:left w:val="none" w:sz="0" w:space="0" w:color="auto"/>
            <w:bottom w:val="none" w:sz="0" w:space="0" w:color="auto"/>
            <w:right w:val="none" w:sz="0" w:space="0" w:color="auto"/>
          </w:divBdr>
          <w:divsChild>
            <w:div w:id="494415343">
              <w:marLeft w:val="0"/>
              <w:marRight w:val="0"/>
              <w:marTop w:val="0"/>
              <w:marBottom w:val="0"/>
              <w:divBdr>
                <w:top w:val="none" w:sz="0" w:space="0" w:color="auto"/>
                <w:left w:val="none" w:sz="0" w:space="0" w:color="auto"/>
                <w:bottom w:val="none" w:sz="0" w:space="0" w:color="auto"/>
                <w:right w:val="none" w:sz="0" w:space="0" w:color="auto"/>
              </w:divBdr>
              <w:divsChild>
                <w:div w:id="15686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7627">
      <w:bodyDiv w:val="1"/>
      <w:marLeft w:val="0"/>
      <w:marRight w:val="0"/>
      <w:marTop w:val="0"/>
      <w:marBottom w:val="0"/>
      <w:divBdr>
        <w:top w:val="none" w:sz="0" w:space="0" w:color="auto"/>
        <w:left w:val="none" w:sz="0" w:space="0" w:color="auto"/>
        <w:bottom w:val="none" w:sz="0" w:space="0" w:color="auto"/>
        <w:right w:val="none" w:sz="0" w:space="0" w:color="auto"/>
      </w:divBdr>
      <w:divsChild>
        <w:div w:id="1705904932">
          <w:marLeft w:val="0"/>
          <w:marRight w:val="0"/>
          <w:marTop w:val="0"/>
          <w:marBottom w:val="0"/>
          <w:divBdr>
            <w:top w:val="none" w:sz="0" w:space="0" w:color="auto"/>
            <w:left w:val="none" w:sz="0" w:space="0" w:color="auto"/>
            <w:bottom w:val="none" w:sz="0" w:space="0" w:color="auto"/>
            <w:right w:val="none" w:sz="0" w:space="0" w:color="auto"/>
          </w:divBdr>
          <w:divsChild>
            <w:div w:id="1991670682">
              <w:marLeft w:val="0"/>
              <w:marRight w:val="0"/>
              <w:marTop w:val="0"/>
              <w:marBottom w:val="0"/>
              <w:divBdr>
                <w:top w:val="none" w:sz="0" w:space="0" w:color="auto"/>
                <w:left w:val="none" w:sz="0" w:space="0" w:color="auto"/>
                <w:bottom w:val="none" w:sz="0" w:space="0" w:color="auto"/>
                <w:right w:val="none" w:sz="0" w:space="0" w:color="auto"/>
              </w:divBdr>
              <w:divsChild>
                <w:div w:id="10883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24492">
      <w:bodyDiv w:val="1"/>
      <w:marLeft w:val="0"/>
      <w:marRight w:val="0"/>
      <w:marTop w:val="0"/>
      <w:marBottom w:val="0"/>
      <w:divBdr>
        <w:top w:val="none" w:sz="0" w:space="0" w:color="auto"/>
        <w:left w:val="none" w:sz="0" w:space="0" w:color="auto"/>
        <w:bottom w:val="none" w:sz="0" w:space="0" w:color="auto"/>
        <w:right w:val="none" w:sz="0" w:space="0" w:color="auto"/>
      </w:divBdr>
    </w:div>
    <w:div w:id="2103060569">
      <w:bodyDiv w:val="1"/>
      <w:marLeft w:val="0"/>
      <w:marRight w:val="0"/>
      <w:marTop w:val="0"/>
      <w:marBottom w:val="0"/>
      <w:divBdr>
        <w:top w:val="none" w:sz="0" w:space="0" w:color="auto"/>
        <w:left w:val="none" w:sz="0" w:space="0" w:color="auto"/>
        <w:bottom w:val="none" w:sz="0" w:space="0" w:color="auto"/>
        <w:right w:val="none" w:sz="0" w:space="0" w:color="auto"/>
      </w:divBdr>
    </w:div>
    <w:div w:id="213563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42" Type="http://schemas.openxmlformats.org/officeDocument/2006/relationships/image" Target="media/image29.svg"/><Relationship Id="rId47" Type="http://schemas.openxmlformats.org/officeDocument/2006/relationships/image" Target="media/image34.png"/><Relationship Id="rId63" Type="http://schemas.openxmlformats.org/officeDocument/2006/relationships/image" Target="media/image45.png"/><Relationship Id="rId68" Type="http://schemas.openxmlformats.org/officeDocument/2006/relationships/image" Target="media/image50.svg"/><Relationship Id="rId84" Type="http://schemas.openxmlformats.org/officeDocument/2006/relationships/image" Target="media/image66.png"/><Relationship Id="rId89" Type="http://schemas.openxmlformats.org/officeDocument/2006/relationships/hyperlink" Target="https://sti.guidelines.org.au/populations-and-situations/trans-and-gender-diverse-people/"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6.png"/><Relationship Id="rId107" Type="http://schemas.openxmlformats.org/officeDocument/2006/relationships/hyperlink" Target="https://www.sshc.org.au" TargetMode="External"/><Relationship Id="rId11" Type="http://schemas.openxmlformats.org/officeDocument/2006/relationships/header" Target="header1.xm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image" Target="media/image32.png"/><Relationship Id="rId53" Type="http://schemas.openxmlformats.org/officeDocument/2006/relationships/hyperlink" Target="https://sti.guidelines.org.au/" TargetMode="External"/><Relationship Id="rId58" Type="http://schemas.openxmlformats.org/officeDocument/2006/relationships/image" Target="media/image41.png"/><Relationship Id="rId66" Type="http://schemas.openxmlformats.org/officeDocument/2006/relationships/image" Target="media/image48.svg"/><Relationship Id="rId74" Type="http://schemas.openxmlformats.org/officeDocument/2006/relationships/image" Target="media/image56.svg"/><Relationship Id="rId79" Type="http://schemas.openxmlformats.org/officeDocument/2006/relationships/image" Target="media/image61.svg"/><Relationship Id="rId87" Type="http://schemas.openxmlformats.org/officeDocument/2006/relationships/hyperlink" Target="https://sti.guidelines.org.au/populations-and-situations/people-who-use-drugs/" TargetMode="External"/><Relationship Id="rId102" Type="http://schemas.openxmlformats.org/officeDocument/2006/relationships/image" Target="media/image77.svg"/><Relationship Id="rId110"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hyperlink" Target="https://sti.guidelines.org.au/populations-and-situations/refugees-and-migrants-to-australia/" TargetMode="External"/><Relationship Id="rId95" Type="http://schemas.openxmlformats.org/officeDocument/2006/relationships/image" Target="media/image70.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svg"/><Relationship Id="rId56" Type="http://schemas.openxmlformats.org/officeDocument/2006/relationships/image" Target="media/image39.png"/><Relationship Id="rId64" Type="http://schemas.openxmlformats.org/officeDocument/2006/relationships/image" Target="media/image46.svg"/><Relationship Id="rId69" Type="http://schemas.openxmlformats.org/officeDocument/2006/relationships/image" Target="media/image51.png"/><Relationship Id="rId77" Type="http://schemas.openxmlformats.org/officeDocument/2006/relationships/image" Target="media/image59.svg"/><Relationship Id="rId100" Type="http://schemas.openxmlformats.org/officeDocument/2006/relationships/image" Target="media/image75.svg"/><Relationship Id="rId105" Type="http://schemas.openxmlformats.org/officeDocument/2006/relationships/hyperlink" Target="http://www.mshc.org.au/" TargetMode="External"/><Relationship Id="rId113"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image" Target="media/image54.svg"/><Relationship Id="rId80" Type="http://schemas.openxmlformats.org/officeDocument/2006/relationships/image" Target="media/image62.png"/><Relationship Id="rId85" Type="http://schemas.openxmlformats.org/officeDocument/2006/relationships/image" Target="media/image67.svg"/><Relationship Id="rId93" Type="http://schemas.openxmlformats.org/officeDocument/2006/relationships/image" Target="media/image68.png"/><Relationship Id="rId98" Type="http://schemas.openxmlformats.org/officeDocument/2006/relationships/image" Target="media/image73.sv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image" Target="media/image33.svg"/><Relationship Id="rId59" Type="http://schemas.openxmlformats.org/officeDocument/2006/relationships/image" Target="media/image42.svg"/><Relationship Id="rId67" Type="http://schemas.openxmlformats.org/officeDocument/2006/relationships/image" Target="media/image49.png"/><Relationship Id="rId103" Type="http://schemas.openxmlformats.org/officeDocument/2006/relationships/image" Target="media/image78.png"/><Relationship Id="rId108" Type="http://schemas.openxmlformats.org/officeDocument/2006/relationships/hyperlink" Target="https://healthgov.sharepoint.com/sites/BBVSTITSH/Shared%20Documents/ttango.com.au" TargetMode="External"/><Relationship Id="rId20" Type="http://schemas.openxmlformats.org/officeDocument/2006/relationships/image" Target="media/image7.sv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4.svg"/><Relationship Id="rId70" Type="http://schemas.openxmlformats.org/officeDocument/2006/relationships/image" Target="media/image52.svg"/><Relationship Id="rId75" Type="http://schemas.openxmlformats.org/officeDocument/2006/relationships/image" Target="media/image57.png"/><Relationship Id="rId83" Type="http://schemas.openxmlformats.org/officeDocument/2006/relationships/image" Target="media/image65.svg"/><Relationship Id="rId88" Type="http://schemas.openxmlformats.org/officeDocument/2006/relationships/hyperlink" Target="https://sti.guidelines.org.au/populations-and-situations/sex-workers/" TargetMode="External"/><Relationship Id="rId91" Type="http://schemas.openxmlformats.org/officeDocument/2006/relationships/hyperlink" Target="https://sti.guidelines.org.au/populations-and-situations/men-who-have-sex-with-men/" TargetMode="External"/><Relationship Id="rId96" Type="http://schemas.openxmlformats.org/officeDocument/2006/relationships/image" Target="media/image71.sv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image" Target="media/image40.svg"/><Relationship Id="rId106" Type="http://schemas.openxmlformats.org/officeDocument/2006/relationships/hyperlink" Target="https://aus01.safelinks.protection.outlook.com/?url=http%3A%2F%2Fwww.naccho.org.au%2F&amp;data=05%7C01%7Ckate.alexander%40naccho.org.au%7C19fce64820e94e1b9acd08db308058f0%7Cf24bd4d48d574e65a23ead7a7707c011%7C0%7C0%7C638157100113012343%7CUnknown%7CTWFpbGZsb3d8eyJWIjoiMC4wLjAwMDAiLCJQIjoiV2luMzIiLCJBTiI6Ik1haWwiLCJXVCI6Mn0%3D%7C3000%7C%7C%7C&amp;sdata=OJruVH86hWW6QOqakFmEFYuOQOh32H8y8tVehh9KBa4%3D&amp;reserved=0" TargetMode="External"/><Relationship Id="rId114"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svg"/><Relationship Id="rId52" Type="http://schemas.openxmlformats.org/officeDocument/2006/relationships/header" Target="header4.xml"/><Relationship Id="rId60" Type="http://schemas.openxmlformats.org/officeDocument/2006/relationships/header" Target="header5.xml"/><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svg"/><Relationship Id="rId86" Type="http://schemas.openxmlformats.org/officeDocument/2006/relationships/hyperlink" Target="https://sti.guidelines.org.au/populations-and-situations/aboriginal-and-torres-strait-islander-people/" TargetMode="External"/><Relationship Id="rId94" Type="http://schemas.openxmlformats.org/officeDocument/2006/relationships/image" Target="media/image69.sv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svg"/><Relationship Id="rId39" Type="http://schemas.openxmlformats.org/officeDocument/2006/relationships/image" Target="media/image26.png"/><Relationship Id="rId109" Type="http://schemas.openxmlformats.org/officeDocument/2006/relationships/hyperlink" Target="http://thealbioncentre.org.au/clinical-services/t150/" TargetMode="External"/><Relationship Id="rId34" Type="http://schemas.openxmlformats.org/officeDocument/2006/relationships/image" Target="media/image21.svg"/><Relationship Id="rId50" Type="http://schemas.openxmlformats.org/officeDocument/2006/relationships/header" Target="header2.xml"/><Relationship Id="rId55" Type="http://schemas.openxmlformats.org/officeDocument/2006/relationships/image" Target="media/image38.svg"/><Relationship Id="rId76" Type="http://schemas.openxmlformats.org/officeDocument/2006/relationships/image" Target="media/image58.png"/><Relationship Id="rId97" Type="http://schemas.openxmlformats.org/officeDocument/2006/relationships/image" Target="media/image72.png"/><Relationship Id="rId104" Type="http://schemas.openxmlformats.org/officeDocument/2006/relationships/image" Target="media/image79.sv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yperlink" Target="https://sti.guidelines.org.au/sexually-transmissible-infections/"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ferris.edu/administration/president/DiversityOffice/Definitions.htm" TargetMode="External"/><Relationship Id="rId18" Type="http://schemas.openxmlformats.org/officeDocument/2006/relationships/hyperlink" Target="https://healthinfonet.ecu.edu.au/learn/health-system/primary-health-care/" TargetMode="External"/><Relationship Id="rId26" Type="http://schemas.openxmlformats.org/officeDocument/2006/relationships/hyperlink" Target="https://onlinelibrary.wiley.com/doi/10.1111/imj.16236" TargetMode="External"/><Relationship Id="rId39" Type="http://schemas.openxmlformats.org/officeDocument/2006/relationships/hyperlink" Target="http://unsworks.unsw.edu.au/fapi/datastream/unsworks:77139/bin8807976f-5af2-46c4-aee2-1eb3f8ac7e74?view=true&amp;xy=01" TargetMode="External"/><Relationship Id="rId3" Type="http://schemas.openxmlformats.org/officeDocument/2006/relationships/hyperlink" Target="https://healthgov.sharepoint.com/sites/BBVSTITSH/Shared%20Documents/ATSI%20and%20STI%20Strategies%202023-2030/key%20terms%20Definitions%20and%20k" TargetMode="External"/><Relationship Id="rId21" Type="http://schemas.openxmlformats.org/officeDocument/2006/relationships/hyperlink" Target="https://www.who.int/health-topics/social-determinants-of-health" TargetMode="External"/><Relationship Id="rId34" Type="http://schemas.openxmlformats.org/officeDocument/2006/relationships/hyperlink" Target="https://www.health.gov.au/resources/publications/australias-primary-health-care-10-year-plan-2022-2032" TargetMode="External"/><Relationship Id="rId42" Type="http://schemas.openxmlformats.org/officeDocument/2006/relationships/hyperlink" Target="https://www.unsw.edu.au/content/dam/pdfs/unsw-adobe-websites/arts-design-architecture/ada-faculty/csrh/2021-06-Stigma_Indicators_Monitoring_Project_Summary_Report.pdf" TargetMode="External"/><Relationship Id="rId47" Type="http://schemas.openxmlformats.org/officeDocument/2006/relationships/hyperlink" Target="https://www.health.gov.au/resources/publications/national-syphilis-surveillance-quarterly-report-july-to-september-2022?language=en" TargetMode="External"/><Relationship Id="rId50" Type="http://schemas.openxmlformats.org/officeDocument/2006/relationships/hyperlink" Target="https://studentwellbeinghub.edu.au/educators/resources/sexual-health-promotion-with-culturally-and-linguistically-diverse-young-people/" TargetMode="External"/><Relationship Id="rId7" Type="http://schemas.openxmlformats.org/officeDocument/2006/relationships/hyperlink" Target="https://www.who.int/emergencies/diseases/novel-coronavirus-2019/technical-guidance/naming-the-coronavirus-disease-(covid-2019)-and-the-virus-that-causes-it" TargetMode="External"/><Relationship Id="rId12" Type="http://schemas.openxmlformats.org/officeDocument/2006/relationships/hyperlink" Target="https://humanrights.gov.au/about/what-are-human-rights" TargetMode="External"/><Relationship Id="rId17" Type="http://schemas.openxmlformats.org/officeDocument/2006/relationships/hyperlink" Target="https://www.health.gov.au/our-work/phn/what-PHNs-are" TargetMode="External"/><Relationship Id="rId25" Type="http://schemas.openxmlformats.org/officeDocument/2006/relationships/hyperlink" Target="https://www1.racgp.org.au/ajgp/2021/january-february/chlamydia-associated-reproductive-complications-in" TargetMode="External"/><Relationship Id="rId33" Type="http://schemas.openxmlformats.org/officeDocument/2006/relationships/hyperlink" Target="https://web.archive.org.au/awa/20180313135651mp_/https:/www.coag.gov.au/sites/default/files/communique/2015%20National%20Ice%20Action%20Strategy.pdf" TargetMode="External"/><Relationship Id="rId38" Type="http://schemas.openxmlformats.org/officeDocument/2006/relationships/hyperlink" Target="https://www.who.int/teams/global-hiv-hepatitis-and-stis-programmes/strategies/global-health-sector-strategies" TargetMode="External"/><Relationship Id="rId46" Type="http://schemas.openxmlformats.org/officeDocument/2006/relationships/hyperlink" Target="https://www.health.gov.au/resources/pregnancy-care-guidelines/part-f-routine-maternal-health-tests/syphilis" TargetMode="External"/><Relationship Id="rId2" Type="http://schemas.openxmlformats.org/officeDocument/2006/relationships/hyperlink" Target="https://www.agedcarequality.gov.au/antimicrobial-stewardship" TargetMode="External"/><Relationship Id="rId16" Type="http://schemas.openxmlformats.org/officeDocument/2006/relationships/hyperlink" Target="https://www.emro.who.int/about-who/public-health-functions/health-promotion-disease-prevention.html" TargetMode="External"/><Relationship Id="rId20" Type="http://schemas.openxmlformats.org/officeDocument/2006/relationships/hyperlink" Target="https://healtheducationresources.unesco.org/library/documents/sexual-and-reproductive-health-and-rights-srhr-brief" TargetMode="External"/><Relationship Id="rId29" Type="http://schemas.openxmlformats.org/officeDocument/2006/relationships/hyperlink" Target="https://www.health.gov.au/sites/default/files/national-drug-strategy-2017-2026.pdf" TargetMode="External"/><Relationship Id="rId41" Type="http://schemas.openxmlformats.org/officeDocument/2006/relationships/hyperlink" Target="https://pubmed.ncbi.nlm.nih.gov/35705518/" TargetMode="External"/><Relationship Id="rId1" Type="http://schemas.openxmlformats.org/officeDocument/2006/relationships/hyperlink" Target="https://www.who.int/news-room/fact-sheets/detail/antimicrobial-resistance" TargetMode="External"/><Relationship Id="rId6" Type="http://schemas.openxmlformats.org/officeDocument/2006/relationships/hyperlink" Target="https://en.wikipedia.org/wiki/Community_leader" TargetMode="External"/><Relationship Id="rId11" Type="http://schemas.openxmlformats.org/officeDocument/2006/relationships/hyperlink" Target="https://www.aihw.gov.au/reports/workforce/health-workforce" TargetMode="External"/><Relationship Id="rId24" Type="http://schemas.openxmlformats.org/officeDocument/2006/relationships/hyperlink" Target="https://ashm.org.au/about/news/australian-consensus-statement-on-person-centred-hiv-care/" TargetMode="External"/><Relationship Id="rId32" Type="http://schemas.openxmlformats.org/officeDocument/2006/relationships/hyperlink" Target="https://www.health.gov.au/resources/publications/national-preventive-health-strategy-2021-2030?language=en" TargetMode="External"/><Relationship Id="rId37" Type="http://schemas.openxmlformats.org/officeDocument/2006/relationships/hyperlink" Target="https://www.thelancet.com/journals/lancet/article/PIIS0140-6736(18)30293-9/fulltext?elsca1=etoc" TargetMode="External"/><Relationship Id="rId40" Type="http://schemas.openxmlformats.org/officeDocument/2006/relationships/hyperlink" Target="http://hivlegal.ashm.org.au" TargetMode="External"/><Relationship Id="rId45" Type="http://schemas.openxmlformats.org/officeDocument/2006/relationships/hyperlink" Target="https://humanrights.gov.au/about/news/speeches/social-determinants-and-health-indigenous-peoples-australia-human-rights-based" TargetMode="External"/><Relationship Id="rId53" Type="http://schemas.openxmlformats.org/officeDocument/2006/relationships/hyperlink" Target="https://report.cervicalcancercontrol.org.au/" TargetMode="External"/><Relationship Id="rId5" Type="http://schemas.openxmlformats.org/officeDocument/2006/relationships/hyperlink" Target="https://aci.health.nsw.gov.au/__data/assets/pdf_file/0013/502240/Guide-Build-Codesign-Capability.pdf" TargetMode="External"/><Relationship Id="rId15" Type="http://schemas.openxmlformats.org/officeDocument/2006/relationships/hyperlink" Target="https://www.hee.nhs.uk/our-work/person-centred-care" TargetMode="External"/><Relationship Id="rId23" Type="http://schemas.openxmlformats.org/officeDocument/2006/relationships/hyperlink" Target="https://www.health.gov.au/topics/sexual-health" TargetMode="External"/><Relationship Id="rId28" Type="http://schemas.openxmlformats.org/officeDocument/2006/relationships/hyperlink" Target="https://www.health.gov.au/sites/default/files/documents/2022/06/fourth-national-sexually-transmissible-infections-strategy-2018-2022.pdf" TargetMode="External"/><Relationship Id="rId36" Type="http://schemas.openxmlformats.org/officeDocument/2006/relationships/hyperlink" Target="https://sdgs.un.org/2030agenda" TargetMode="External"/><Relationship Id="rId49" Type="http://schemas.openxmlformats.org/officeDocument/2006/relationships/hyperlink" Target="https://scarletalliance.org.au/library/Stigma_Indicators" TargetMode="External"/><Relationship Id="rId10" Type="http://schemas.openxmlformats.org/officeDocument/2006/relationships/hyperlink" Target="https://www.who.int/health-topics/health-equity" TargetMode="External"/><Relationship Id="rId19" Type="http://schemas.openxmlformats.org/officeDocument/2006/relationships/hyperlink" Target="https://www.health.gov.au/resources/publications/national-preventive-health-strategy-2021-2030?language=en" TargetMode="External"/><Relationship Id="rId31" Type="http://schemas.openxmlformats.org/officeDocument/2006/relationships/hyperlink" Target="https://www.who.int/publications/i/item/9789240027077" TargetMode="External"/><Relationship Id="rId44" Type="http://schemas.openxmlformats.org/officeDocument/2006/relationships/hyperlink" Target="https://www.childsafety.gov.au/system/files/2022-09/national-strategy-2021-30-english.pdf" TargetMode="External"/><Relationship Id="rId52" Type="http://schemas.openxmlformats.org/officeDocument/2006/relationships/hyperlink" Target="https://www.ncirs.org.au/sites/default/files/2021-11/NCIRS%20Annual%20Immunisation%20Coverage%20report%202020.pdf" TargetMode="External"/><Relationship Id="rId4" Type="http://schemas.openxmlformats.org/officeDocument/2006/relationships/hyperlink" Target="https://humanrights.gov.au/our-work/lgbti/terminology" TargetMode="External"/><Relationship Id="rId9" Type="http://schemas.openxmlformats.org/officeDocument/2006/relationships/hyperlink" Target="https://www.ferris.edu/administration/president/DiversityOffice/Definitions.htm" TargetMode="External"/><Relationship Id="rId14" Type="http://schemas.openxmlformats.org/officeDocument/2006/relationships/hyperlink" Target="https://www.vic.gov.au/understanding-intersectionality" TargetMode="External"/><Relationship Id="rId22" Type="http://schemas.openxmlformats.org/officeDocument/2006/relationships/hyperlink" Target="https://www.healthline.com/health/what-is-stigma" TargetMode="External"/><Relationship Id="rId27" Type="http://schemas.openxmlformats.org/officeDocument/2006/relationships/hyperlink" Target="http://unsworks.unsw.edu.au/fapi/datastream/unsworks:77139/bin8807976f-5af2-46c4-aee2-1eb3f8ac7e74?view=true&amp;xy=01" TargetMode="External"/><Relationship Id="rId30" Type="http://schemas.openxmlformats.org/officeDocument/2006/relationships/hyperlink" Target="https://www.who.int/teams/global-hiv-hepatitis-and-stis-programmes/strategies/global-health-sector-strategies" TargetMode="External"/><Relationship Id="rId35" Type="http://schemas.openxmlformats.org/officeDocument/2006/relationships/hyperlink" Target="http://www.amr.gov.au/resources/australias-national-antimicrobial-resistance-strategy-2020-and-beyond" TargetMode="External"/><Relationship Id="rId43" Type="http://schemas.openxmlformats.org/officeDocument/2006/relationships/hyperlink" Target="https://sti.guidelines.org.au" TargetMode="External"/><Relationship Id="rId48" Type="http://schemas.openxmlformats.org/officeDocument/2006/relationships/hyperlink" Target="https://www.health.gov.au/resources/pregnancy-care-guidelines/part-f-routine-maternal-health-tests/syphilis" TargetMode="External"/><Relationship Id="rId8" Type="http://schemas.openxmlformats.org/officeDocument/2006/relationships/hyperlink" Target="https://humanrights.gov.au/quick-guide/12030" TargetMode="External"/><Relationship Id="rId51" Type="http://schemas.openxmlformats.org/officeDocument/2006/relationships/hyperlink" Target="https://sti.guidelines.org.au/populations-and-situations/people-in-custodial-setting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ealth.nt.gov.au/public-health-notifiable-diseases" TargetMode="External"/></Relationships>
</file>

<file path=word/documenttasks/documenttasks1.xml><?xml version="1.0" encoding="utf-8"?>
<t:Tasks xmlns:t="http://schemas.microsoft.com/office/tasks/2019/documenttasks" xmlns:oel="http://schemas.microsoft.com/office/2019/extlst">
  <t:Task id="{741F8C92-5473-4551-A38E-5EB5014BBCBC}">
    <t:Anchor>
      <t:Comment id="684802475"/>
    </t:Anchor>
    <t:History>
      <t:Event id="{4D9B787F-CED4-4200-8EC5-7B08A474DA41}" time="2023-10-16T00:29:01.849Z">
        <t:Attribution userId="S::smcdowell@allenandclarke.com.au::81b82dae-01f3-441e-9973-eef9859b6ef8" userProvider="AD" userName="Sarah McDowell"/>
        <t:Anchor>
          <t:Comment id="1860445990"/>
        </t:Anchor>
        <t:Create/>
      </t:Event>
      <t:Event id="{6AF408CC-CD8D-4A04-A254-4A0F208B9282}" time="2023-10-16T00:29:01.849Z">
        <t:Attribution userId="S::smcdowell@allenandclarke.com.au::81b82dae-01f3-441e-9973-eef9859b6ef8" userProvider="AD" userName="Sarah McDowell"/>
        <t:Anchor>
          <t:Comment id="1860445990"/>
        </t:Anchor>
        <t:Assign userId="S::smcdowell@allenandclarke.com.au::81b82dae-01f3-441e-9973-eef9859b6ef8" userProvider="AD" userName="Sarah McDowell"/>
      </t:Event>
      <t:Event id="{BE5AF3FE-C7A1-4424-BB63-FD7AC3B7264C}" time="2023-10-16T00:29:01.849Z">
        <t:Attribution userId="S::smcdowell@allenandclarke.com.au::81b82dae-01f3-441e-9973-eef9859b6ef8" userProvider="AD" userName="Sarah McDowell"/>
        <t:Anchor>
          <t:Comment id="1860445990"/>
        </t:Anchor>
        <t:SetTitle title="@Sarah McDowell "/>
      </t:Event>
      <t:Event id="{E3B1F56C-AB32-4518-9541-C9C5E1738FC5}" time="2023-10-16T10:22:44.879Z">
        <t:Attribution userId="S::smcdowell@allenandclarke.com.au::81b82dae-01f3-441e-9973-eef9859b6ef8" userProvider="AD" userName="Sarah McDowel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00f5fc-3e6b-4742-826b-fe743b41963d">
      <Terms xmlns="http://schemas.microsoft.com/office/infopath/2007/PartnerControls"/>
    </lcf76f155ced4ddcb4097134ff3c332f>
    <TaxCatchAll xmlns="f24a5cda-31b5-465e-a0e9-d446c5f13893" xsi:nil="true"/>
    <SharedWithUsers xmlns="f24a5cda-31b5-465e-a0e9-d446c5f13893">
      <UserInfo>
        <DisplayName>MARTIN, Rajan</DisplayName>
        <AccountId>287</AccountId>
        <AccountType/>
      </UserInfo>
    </SharedWithUsers>
    <ArchiveProject xmlns="8eb1e49f-de92-4add-a91a-fc4f60cb00b5">no</ArchiveProjec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ASH21</b:Tag>
    <b:SourceType>InternetSite</b:SourceType>
    <b:Guid>{BEB9BD1D-AE56-418D-93AA-D2F5D7CC2995}</b:Guid>
    <b:Title>People in custodial settings</b:Title>
    <b:Year>2021</b:Year>
    <b:Author>
      <b:Author>
        <b:NameList>
          <b:Person>
            <b:Last>2022</b:Last>
            <b:First>ASHM</b:First>
            <b:Middle>Australia</b:Middle>
          </b:Person>
        </b:NameList>
      </b:Author>
    </b:Author>
    <b:InternetSiteTitle>Australian STI Management Guidelines for use in Primary Care </b:InternetSiteTitle>
    <b:Month>Dccember </b:Month>
    <b:URL>https://sti.guidelines.org.au/populations-and-situations/people-in-custodial-settings/</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7ae4ba5122cc8b6e0490ba8eb95e20f4">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07d5a2d1b901f8975a2d4103b6d845fc"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105C75-F569-43BF-8E9B-609B2A802EB8}">
  <ds:schemaRefs>
    <ds:schemaRef ds:uri="2700f5fc-3e6b-4742-826b-fe743b41963d"/>
    <ds:schemaRef ds:uri="http://schemas.microsoft.com/office/2006/documentManagement/types"/>
    <ds:schemaRef ds:uri="http://schemas.microsoft.com/office/infopath/2007/PartnerControls"/>
    <ds:schemaRef ds:uri="8eb1e49f-de92-4add-a91a-fc4f60cb00b5"/>
    <ds:schemaRef ds:uri="http://purl.org/dc/elements/1.1/"/>
    <ds:schemaRef ds:uri="http://schemas.microsoft.com/office/2006/metadata/properties"/>
    <ds:schemaRef ds:uri="f24a5cda-31b5-465e-a0e9-d446c5f1389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3D16730-BCBD-4180-8637-2433D294A588}">
  <ds:schemaRefs>
    <ds:schemaRef ds:uri="http://schemas.openxmlformats.org/officeDocument/2006/bibliography"/>
  </ds:schemaRefs>
</ds:datastoreItem>
</file>

<file path=customXml/itemProps3.xml><?xml version="1.0" encoding="utf-8"?>
<ds:datastoreItem xmlns:ds="http://schemas.openxmlformats.org/officeDocument/2006/customXml" ds:itemID="{AD7670B2-1FC6-4061-93A9-0B51868B7545}">
  <ds:schemaRefs>
    <ds:schemaRef ds:uri="http://schemas.microsoft.com/sharepoint/v3/contenttype/forms"/>
  </ds:schemaRefs>
</ds:datastoreItem>
</file>

<file path=customXml/itemProps4.xml><?xml version="1.0" encoding="utf-8"?>
<ds:datastoreItem xmlns:ds="http://schemas.openxmlformats.org/officeDocument/2006/customXml" ds:itemID="{FDC155E4-F5EF-48D3-90CD-6EF5AA36E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19641</Words>
  <Characters>117458</Characters>
  <Application>Microsoft Office Word</Application>
  <DocSecurity>0</DocSecurity>
  <Lines>2499</Lines>
  <Paragraphs>1023</Paragraphs>
  <ScaleCrop>false</ScaleCrop>
  <HeadingPairs>
    <vt:vector size="2" baseType="variant">
      <vt:variant>
        <vt:lpstr>Title</vt:lpstr>
      </vt:variant>
      <vt:variant>
        <vt:i4>1</vt:i4>
      </vt:variant>
    </vt:vector>
  </HeadingPairs>
  <TitlesOfParts>
    <vt:vector size="1" baseType="lpstr">
      <vt:lpstr>Fifth National Sexually Transmissible Infections Strategy 2024–2030</vt:lpstr>
    </vt:vector>
  </TitlesOfParts>
  <Company/>
  <LinksUpToDate>false</LinksUpToDate>
  <CharactersWithSpaces>136076</CharactersWithSpaces>
  <SharedDoc>false</SharedDoc>
  <HLinks>
    <vt:vector size="690" baseType="variant">
      <vt:variant>
        <vt:i4>5046296</vt:i4>
      </vt:variant>
      <vt:variant>
        <vt:i4>316</vt:i4>
      </vt:variant>
      <vt:variant>
        <vt:i4>0</vt:i4>
      </vt:variant>
      <vt:variant>
        <vt:i4>5</vt:i4>
      </vt:variant>
      <vt:variant>
        <vt:lpwstr>http://thealbioncentre.org.au/clinical-services/t150/</vt:lpwstr>
      </vt:variant>
      <vt:variant>
        <vt:lpwstr/>
      </vt:variant>
      <vt:variant>
        <vt:i4>2687015</vt:i4>
      </vt:variant>
      <vt:variant>
        <vt:i4>313</vt:i4>
      </vt:variant>
      <vt:variant>
        <vt:i4>0</vt:i4>
      </vt:variant>
      <vt:variant>
        <vt:i4>5</vt:i4>
      </vt:variant>
      <vt:variant>
        <vt:lpwstr>https://healthgov.sharepoint.com/sites/BBVSTITSH/Shared Documents/ttango.com.au</vt:lpwstr>
      </vt:variant>
      <vt:variant>
        <vt:lpwstr/>
      </vt:variant>
      <vt:variant>
        <vt:i4>1966172</vt:i4>
      </vt:variant>
      <vt:variant>
        <vt:i4>310</vt:i4>
      </vt:variant>
      <vt:variant>
        <vt:i4>0</vt:i4>
      </vt:variant>
      <vt:variant>
        <vt:i4>5</vt:i4>
      </vt:variant>
      <vt:variant>
        <vt:lpwstr>https://www.sshc.org.au/</vt:lpwstr>
      </vt:variant>
      <vt:variant>
        <vt:lpwstr/>
      </vt:variant>
      <vt:variant>
        <vt:i4>3997736</vt:i4>
      </vt:variant>
      <vt:variant>
        <vt:i4>307</vt:i4>
      </vt:variant>
      <vt:variant>
        <vt:i4>0</vt:i4>
      </vt:variant>
      <vt:variant>
        <vt:i4>5</vt:i4>
      </vt:variant>
      <vt:variant>
        <vt:lpwstr>https://aus01.safelinks.protection.outlook.com/?url=http%3A%2F%2Fwww.naccho.org.au%2F&amp;data=05%7C01%7Ckate.alexander%40naccho.org.au%7C19fce64820e94e1b9acd08db308058f0%7Cf24bd4d48d574e65a23ead7a7707c011%7C0%7C0%7C638157100113012343%7CUnknown%7CTWFpbGZsb3d8eyJWIjoiMC4wLjAwMDAiLCJQIjoiV2luMzIiLCJBTiI6Ik1haWwiLCJXVCI6Mn0%3D%7C3000%7C%7C%7C&amp;sdata=OJruVH86hWW6QOqakFmEFYuOQOh32H8y8tVehh9KBa4%3D&amp;reserved=0</vt:lpwstr>
      </vt:variant>
      <vt:variant>
        <vt:lpwstr/>
      </vt:variant>
      <vt:variant>
        <vt:i4>2687017</vt:i4>
      </vt:variant>
      <vt:variant>
        <vt:i4>304</vt:i4>
      </vt:variant>
      <vt:variant>
        <vt:i4>0</vt:i4>
      </vt:variant>
      <vt:variant>
        <vt:i4>5</vt:i4>
      </vt:variant>
      <vt:variant>
        <vt:lpwstr>http://www.mshc.org.au/</vt:lpwstr>
      </vt:variant>
      <vt:variant>
        <vt:lpwstr/>
      </vt:variant>
      <vt:variant>
        <vt:i4>2228281</vt:i4>
      </vt:variant>
      <vt:variant>
        <vt:i4>295</vt:i4>
      </vt:variant>
      <vt:variant>
        <vt:i4>0</vt:i4>
      </vt:variant>
      <vt:variant>
        <vt:i4>5</vt:i4>
      </vt:variant>
      <vt:variant>
        <vt:lpwstr>https://www.who.int/publications-detail-redirect/9789241503501</vt:lpwstr>
      </vt:variant>
      <vt:variant>
        <vt:lpwstr/>
      </vt:variant>
      <vt:variant>
        <vt:i4>5701720</vt:i4>
      </vt:variant>
      <vt:variant>
        <vt:i4>256</vt:i4>
      </vt:variant>
      <vt:variant>
        <vt:i4>0</vt:i4>
      </vt:variant>
      <vt:variant>
        <vt:i4>5</vt:i4>
      </vt:variant>
      <vt:variant>
        <vt:lpwstr>https://sti.guidelines.org.au/sexually-transmissible-infections/</vt:lpwstr>
      </vt:variant>
      <vt:variant>
        <vt:lpwstr/>
      </vt:variant>
      <vt:variant>
        <vt:i4>6881340</vt:i4>
      </vt:variant>
      <vt:variant>
        <vt:i4>253</vt:i4>
      </vt:variant>
      <vt:variant>
        <vt:i4>0</vt:i4>
      </vt:variant>
      <vt:variant>
        <vt:i4>5</vt:i4>
      </vt:variant>
      <vt:variant>
        <vt:lpwstr>https://sti.guidelines.org.au/populations-and-situations/men-who-have-sex-with-men/</vt:lpwstr>
      </vt:variant>
      <vt:variant>
        <vt:lpwstr/>
      </vt:variant>
      <vt:variant>
        <vt:i4>655430</vt:i4>
      </vt:variant>
      <vt:variant>
        <vt:i4>250</vt:i4>
      </vt:variant>
      <vt:variant>
        <vt:i4>0</vt:i4>
      </vt:variant>
      <vt:variant>
        <vt:i4>5</vt:i4>
      </vt:variant>
      <vt:variant>
        <vt:lpwstr>https://sti.guidelines.org.au/populations-and-situations/refugees-and-migrants-to-australia/</vt:lpwstr>
      </vt:variant>
      <vt:variant>
        <vt:lpwstr/>
      </vt:variant>
      <vt:variant>
        <vt:i4>720898</vt:i4>
      </vt:variant>
      <vt:variant>
        <vt:i4>247</vt:i4>
      </vt:variant>
      <vt:variant>
        <vt:i4>0</vt:i4>
      </vt:variant>
      <vt:variant>
        <vt:i4>5</vt:i4>
      </vt:variant>
      <vt:variant>
        <vt:lpwstr>https://sti.guidelines.org.au/populations-and-situations/trans-and-gender-diverse-people/</vt:lpwstr>
      </vt:variant>
      <vt:variant>
        <vt:lpwstr/>
      </vt:variant>
      <vt:variant>
        <vt:i4>1245259</vt:i4>
      </vt:variant>
      <vt:variant>
        <vt:i4>244</vt:i4>
      </vt:variant>
      <vt:variant>
        <vt:i4>0</vt:i4>
      </vt:variant>
      <vt:variant>
        <vt:i4>5</vt:i4>
      </vt:variant>
      <vt:variant>
        <vt:lpwstr>https://sti.guidelines.org.au/populations-and-situations/sex-workers/</vt:lpwstr>
      </vt:variant>
      <vt:variant>
        <vt:lpwstr/>
      </vt:variant>
      <vt:variant>
        <vt:i4>7602287</vt:i4>
      </vt:variant>
      <vt:variant>
        <vt:i4>241</vt:i4>
      </vt:variant>
      <vt:variant>
        <vt:i4>0</vt:i4>
      </vt:variant>
      <vt:variant>
        <vt:i4>5</vt:i4>
      </vt:variant>
      <vt:variant>
        <vt:lpwstr>https://sti.guidelines.org.au/populations-and-situations/people-who-use-drugs/</vt:lpwstr>
      </vt:variant>
      <vt:variant>
        <vt:lpwstr/>
      </vt:variant>
      <vt:variant>
        <vt:i4>7929977</vt:i4>
      </vt:variant>
      <vt:variant>
        <vt:i4>238</vt:i4>
      </vt:variant>
      <vt:variant>
        <vt:i4>0</vt:i4>
      </vt:variant>
      <vt:variant>
        <vt:i4>5</vt:i4>
      </vt:variant>
      <vt:variant>
        <vt:lpwstr>https://sti.guidelines.org.au/populations-and-situations/aboriginal-and-torres-strait-islander-people/</vt:lpwstr>
      </vt:variant>
      <vt:variant>
        <vt:lpwstr/>
      </vt:variant>
      <vt:variant>
        <vt:i4>6488131</vt:i4>
      </vt:variant>
      <vt:variant>
        <vt:i4>224</vt:i4>
      </vt:variant>
      <vt:variant>
        <vt:i4>0</vt:i4>
      </vt:variant>
      <vt:variant>
        <vt:i4>5</vt:i4>
      </vt:variant>
      <vt:variant>
        <vt:lpwstr/>
      </vt:variant>
      <vt:variant>
        <vt:lpwstr>_Priority_areas_for</vt:lpwstr>
      </vt:variant>
      <vt:variant>
        <vt:i4>6488131</vt:i4>
      </vt:variant>
      <vt:variant>
        <vt:i4>221</vt:i4>
      </vt:variant>
      <vt:variant>
        <vt:i4>0</vt:i4>
      </vt:variant>
      <vt:variant>
        <vt:i4>5</vt:i4>
      </vt:variant>
      <vt:variant>
        <vt:lpwstr/>
      </vt:variant>
      <vt:variant>
        <vt:lpwstr>_Priority_areas_for</vt:lpwstr>
      </vt:variant>
      <vt:variant>
        <vt:i4>7143482</vt:i4>
      </vt:variant>
      <vt:variant>
        <vt:i4>213</vt:i4>
      </vt:variant>
      <vt:variant>
        <vt:i4>0</vt:i4>
      </vt:variant>
      <vt:variant>
        <vt:i4>5</vt:i4>
      </vt:variant>
      <vt:variant>
        <vt:lpwstr>https://sti.guidelines.org.au/</vt:lpwstr>
      </vt:variant>
      <vt:variant>
        <vt:lpwstr/>
      </vt:variant>
      <vt:variant>
        <vt:i4>1900661</vt:i4>
      </vt:variant>
      <vt:variant>
        <vt:i4>210</vt:i4>
      </vt:variant>
      <vt:variant>
        <vt:i4>0</vt:i4>
      </vt:variant>
      <vt:variant>
        <vt:i4>5</vt:i4>
      </vt:variant>
      <vt:variant>
        <vt:lpwstr/>
      </vt:variant>
      <vt:variant>
        <vt:lpwstr>_Case_study:_Providing</vt:lpwstr>
      </vt:variant>
      <vt:variant>
        <vt:i4>1376379</vt:i4>
      </vt:variant>
      <vt:variant>
        <vt:i4>207</vt:i4>
      </vt:variant>
      <vt:variant>
        <vt:i4>0</vt:i4>
      </vt:variant>
      <vt:variant>
        <vt:i4>5</vt:i4>
      </vt:variant>
      <vt:variant>
        <vt:lpwstr/>
      </vt:variant>
      <vt:variant>
        <vt:lpwstr>_Case_study:_Benefiting</vt:lpwstr>
      </vt:variant>
      <vt:variant>
        <vt:i4>1769598</vt:i4>
      </vt:variant>
      <vt:variant>
        <vt:i4>204</vt:i4>
      </vt:variant>
      <vt:variant>
        <vt:i4>0</vt:i4>
      </vt:variant>
      <vt:variant>
        <vt:i4>5</vt:i4>
      </vt:variant>
      <vt:variant>
        <vt:lpwstr/>
      </vt:variant>
      <vt:variant>
        <vt:lpwstr>_Case_study:_Promoting</vt:lpwstr>
      </vt:variant>
      <vt:variant>
        <vt:i4>7274516</vt:i4>
      </vt:variant>
      <vt:variant>
        <vt:i4>201</vt:i4>
      </vt:variant>
      <vt:variant>
        <vt:i4>0</vt:i4>
      </vt:variant>
      <vt:variant>
        <vt:i4>5</vt:i4>
      </vt:variant>
      <vt:variant>
        <vt:lpwstr/>
      </vt:variant>
      <vt:variant>
        <vt:lpwstr>_Case_study:_Putting</vt:lpwstr>
      </vt:variant>
      <vt:variant>
        <vt:i4>6488094</vt:i4>
      </vt:variant>
      <vt:variant>
        <vt:i4>198</vt:i4>
      </vt:variant>
      <vt:variant>
        <vt:i4>0</vt:i4>
      </vt:variant>
      <vt:variant>
        <vt:i4>5</vt:i4>
      </vt:variant>
      <vt:variant>
        <vt:lpwstr/>
      </vt:variant>
      <vt:variant>
        <vt:lpwstr>_Case_study:_Enabling</vt:lpwstr>
      </vt:variant>
      <vt:variant>
        <vt:i4>6488068</vt:i4>
      </vt:variant>
      <vt:variant>
        <vt:i4>195</vt:i4>
      </vt:variant>
      <vt:variant>
        <vt:i4>0</vt:i4>
      </vt:variant>
      <vt:variant>
        <vt:i4>5</vt:i4>
      </vt:variant>
      <vt:variant>
        <vt:lpwstr/>
      </vt:variant>
      <vt:variant>
        <vt:lpwstr>_Case_study:_Meeting</vt:lpwstr>
      </vt:variant>
      <vt:variant>
        <vt:i4>655461</vt:i4>
      </vt:variant>
      <vt:variant>
        <vt:i4>192</vt:i4>
      </vt:variant>
      <vt:variant>
        <vt:i4>0</vt:i4>
      </vt:variant>
      <vt:variant>
        <vt:i4>5</vt:i4>
      </vt:variant>
      <vt:variant>
        <vt:lpwstr/>
      </vt:variant>
      <vt:variant>
        <vt:lpwstr>_Case_study:_Dispensing</vt:lpwstr>
      </vt:variant>
      <vt:variant>
        <vt:i4>983150</vt:i4>
      </vt:variant>
      <vt:variant>
        <vt:i4>189</vt:i4>
      </vt:variant>
      <vt:variant>
        <vt:i4>0</vt:i4>
      </vt:variant>
      <vt:variant>
        <vt:i4>5</vt:i4>
      </vt:variant>
      <vt:variant>
        <vt:lpwstr/>
      </vt:variant>
      <vt:variant>
        <vt:lpwstr>_Case_study:_Decentralising</vt:lpwstr>
      </vt:variant>
      <vt:variant>
        <vt:i4>1114163</vt:i4>
      </vt:variant>
      <vt:variant>
        <vt:i4>182</vt:i4>
      </vt:variant>
      <vt:variant>
        <vt:i4>0</vt:i4>
      </vt:variant>
      <vt:variant>
        <vt:i4>5</vt:i4>
      </vt:variant>
      <vt:variant>
        <vt:lpwstr/>
      </vt:variant>
      <vt:variant>
        <vt:lpwstr>_Toc163737205</vt:lpwstr>
      </vt:variant>
      <vt:variant>
        <vt:i4>1114163</vt:i4>
      </vt:variant>
      <vt:variant>
        <vt:i4>176</vt:i4>
      </vt:variant>
      <vt:variant>
        <vt:i4>0</vt:i4>
      </vt:variant>
      <vt:variant>
        <vt:i4>5</vt:i4>
      </vt:variant>
      <vt:variant>
        <vt:lpwstr/>
      </vt:variant>
      <vt:variant>
        <vt:lpwstr>_Toc163737204</vt:lpwstr>
      </vt:variant>
      <vt:variant>
        <vt:i4>1114163</vt:i4>
      </vt:variant>
      <vt:variant>
        <vt:i4>170</vt:i4>
      </vt:variant>
      <vt:variant>
        <vt:i4>0</vt:i4>
      </vt:variant>
      <vt:variant>
        <vt:i4>5</vt:i4>
      </vt:variant>
      <vt:variant>
        <vt:lpwstr/>
      </vt:variant>
      <vt:variant>
        <vt:lpwstr>_Toc163737203</vt:lpwstr>
      </vt:variant>
      <vt:variant>
        <vt:i4>1114163</vt:i4>
      </vt:variant>
      <vt:variant>
        <vt:i4>164</vt:i4>
      </vt:variant>
      <vt:variant>
        <vt:i4>0</vt:i4>
      </vt:variant>
      <vt:variant>
        <vt:i4>5</vt:i4>
      </vt:variant>
      <vt:variant>
        <vt:lpwstr/>
      </vt:variant>
      <vt:variant>
        <vt:lpwstr>_Toc163737202</vt:lpwstr>
      </vt:variant>
      <vt:variant>
        <vt:i4>1114163</vt:i4>
      </vt:variant>
      <vt:variant>
        <vt:i4>158</vt:i4>
      </vt:variant>
      <vt:variant>
        <vt:i4>0</vt:i4>
      </vt:variant>
      <vt:variant>
        <vt:i4>5</vt:i4>
      </vt:variant>
      <vt:variant>
        <vt:lpwstr/>
      </vt:variant>
      <vt:variant>
        <vt:lpwstr>_Toc163737201</vt:lpwstr>
      </vt:variant>
      <vt:variant>
        <vt:i4>1114163</vt:i4>
      </vt:variant>
      <vt:variant>
        <vt:i4>152</vt:i4>
      </vt:variant>
      <vt:variant>
        <vt:i4>0</vt:i4>
      </vt:variant>
      <vt:variant>
        <vt:i4>5</vt:i4>
      </vt:variant>
      <vt:variant>
        <vt:lpwstr/>
      </vt:variant>
      <vt:variant>
        <vt:lpwstr>_Toc163737200</vt:lpwstr>
      </vt:variant>
      <vt:variant>
        <vt:i4>1572912</vt:i4>
      </vt:variant>
      <vt:variant>
        <vt:i4>146</vt:i4>
      </vt:variant>
      <vt:variant>
        <vt:i4>0</vt:i4>
      </vt:variant>
      <vt:variant>
        <vt:i4>5</vt:i4>
      </vt:variant>
      <vt:variant>
        <vt:lpwstr/>
      </vt:variant>
      <vt:variant>
        <vt:lpwstr>_Toc163737199</vt:lpwstr>
      </vt:variant>
      <vt:variant>
        <vt:i4>1572912</vt:i4>
      </vt:variant>
      <vt:variant>
        <vt:i4>140</vt:i4>
      </vt:variant>
      <vt:variant>
        <vt:i4>0</vt:i4>
      </vt:variant>
      <vt:variant>
        <vt:i4>5</vt:i4>
      </vt:variant>
      <vt:variant>
        <vt:lpwstr/>
      </vt:variant>
      <vt:variant>
        <vt:lpwstr>_Toc163737198</vt:lpwstr>
      </vt:variant>
      <vt:variant>
        <vt:i4>1572912</vt:i4>
      </vt:variant>
      <vt:variant>
        <vt:i4>134</vt:i4>
      </vt:variant>
      <vt:variant>
        <vt:i4>0</vt:i4>
      </vt:variant>
      <vt:variant>
        <vt:i4>5</vt:i4>
      </vt:variant>
      <vt:variant>
        <vt:lpwstr/>
      </vt:variant>
      <vt:variant>
        <vt:lpwstr>_Toc163737197</vt:lpwstr>
      </vt:variant>
      <vt:variant>
        <vt:i4>1572912</vt:i4>
      </vt:variant>
      <vt:variant>
        <vt:i4>128</vt:i4>
      </vt:variant>
      <vt:variant>
        <vt:i4>0</vt:i4>
      </vt:variant>
      <vt:variant>
        <vt:i4>5</vt:i4>
      </vt:variant>
      <vt:variant>
        <vt:lpwstr/>
      </vt:variant>
      <vt:variant>
        <vt:lpwstr>_Toc163737196</vt:lpwstr>
      </vt:variant>
      <vt:variant>
        <vt:i4>1572912</vt:i4>
      </vt:variant>
      <vt:variant>
        <vt:i4>122</vt:i4>
      </vt:variant>
      <vt:variant>
        <vt:i4>0</vt:i4>
      </vt:variant>
      <vt:variant>
        <vt:i4>5</vt:i4>
      </vt:variant>
      <vt:variant>
        <vt:lpwstr/>
      </vt:variant>
      <vt:variant>
        <vt:lpwstr>_Toc163737195</vt:lpwstr>
      </vt:variant>
      <vt:variant>
        <vt:i4>1572912</vt:i4>
      </vt:variant>
      <vt:variant>
        <vt:i4>116</vt:i4>
      </vt:variant>
      <vt:variant>
        <vt:i4>0</vt:i4>
      </vt:variant>
      <vt:variant>
        <vt:i4>5</vt:i4>
      </vt:variant>
      <vt:variant>
        <vt:lpwstr/>
      </vt:variant>
      <vt:variant>
        <vt:lpwstr>_Toc163737194</vt:lpwstr>
      </vt:variant>
      <vt:variant>
        <vt:i4>1572912</vt:i4>
      </vt:variant>
      <vt:variant>
        <vt:i4>110</vt:i4>
      </vt:variant>
      <vt:variant>
        <vt:i4>0</vt:i4>
      </vt:variant>
      <vt:variant>
        <vt:i4>5</vt:i4>
      </vt:variant>
      <vt:variant>
        <vt:lpwstr/>
      </vt:variant>
      <vt:variant>
        <vt:lpwstr>_Toc163737193</vt:lpwstr>
      </vt:variant>
      <vt:variant>
        <vt:i4>1572912</vt:i4>
      </vt:variant>
      <vt:variant>
        <vt:i4>104</vt:i4>
      </vt:variant>
      <vt:variant>
        <vt:i4>0</vt:i4>
      </vt:variant>
      <vt:variant>
        <vt:i4>5</vt:i4>
      </vt:variant>
      <vt:variant>
        <vt:lpwstr/>
      </vt:variant>
      <vt:variant>
        <vt:lpwstr>_Toc163737192</vt:lpwstr>
      </vt:variant>
      <vt:variant>
        <vt:i4>1572912</vt:i4>
      </vt:variant>
      <vt:variant>
        <vt:i4>98</vt:i4>
      </vt:variant>
      <vt:variant>
        <vt:i4>0</vt:i4>
      </vt:variant>
      <vt:variant>
        <vt:i4>5</vt:i4>
      </vt:variant>
      <vt:variant>
        <vt:lpwstr/>
      </vt:variant>
      <vt:variant>
        <vt:lpwstr>_Toc163737191</vt:lpwstr>
      </vt:variant>
      <vt:variant>
        <vt:i4>1572912</vt:i4>
      </vt:variant>
      <vt:variant>
        <vt:i4>92</vt:i4>
      </vt:variant>
      <vt:variant>
        <vt:i4>0</vt:i4>
      </vt:variant>
      <vt:variant>
        <vt:i4>5</vt:i4>
      </vt:variant>
      <vt:variant>
        <vt:lpwstr/>
      </vt:variant>
      <vt:variant>
        <vt:lpwstr>_Toc163737190</vt:lpwstr>
      </vt:variant>
      <vt:variant>
        <vt:i4>1638448</vt:i4>
      </vt:variant>
      <vt:variant>
        <vt:i4>86</vt:i4>
      </vt:variant>
      <vt:variant>
        <vt:i4>0</vt:i4>
      </vt:variant>
      <vt:variant>
        <vt:i4>5</vt:i4>
      </vt:variant>
      <vt:variant>
        <vt:lpwstr/>
      </vt:variant>
      <vt:variant>
        <vt:lpwstr>_Toc163737189</vt:lpwstr>
      </vt:variant>
      <vt:variant>
        <vt:i4>1638448</vt:i4>
      </vt:variant>
      <vt:variant>
        <vt:i4>80</vt:i4>
      </vt:variant>
      <vt:variant>
        <vt:i4>0</vt:i4>
      </vt:variant>
      <vt:variant>
        <vt:i4>5</vt:i4>
      </vt:variant>
      <vt:variant>
        <vt:lpwstr/>
      </vt:variant>
      <vt:variant>
        <vt:lpwstr>_Toc163737188</vt:lpwstr>
      </vt:variant>
      <vt:variant>
        <vt:i4>1638448</vt:i4>
      </vt:variant>
      <vt:variant>
        <vt:i4>74</vt:i4>
      </vt:variant>
      <vt:variant>
        <vt:i4>0</vt:i4>
      </vt:variant>
      <vt:variant>
        <vt:i4>5</vt:i4>
      </vt:variant>
      <vt:variant>
        <vt:lpwstr/>
      </vt:variant>
      <vt:variant>
        <vt:lpwstr>_Toc163737187</vt:lpwstr>
      </vt:variant>
      <vt:variant>
        <vt:i4>1638448</vt:i4>
      </vt:variant>
      <vt:variant>
        <vt:i4>68</vt:i4>
      </vt:variant>
      <vt:variant>
        <vt:i4>0</vt:i4>
      </vt:variant>
      <vt:variant>
        <vt:i4>5</vt:i4>
      </vt:variant>
      <vt:variant>
        <vt:lpwstr/>
      </vt:variant>
      <vt:variant>
        <vt:lpwstr>_Toc163737186</vt:lpwstr>
      </vt:variant>
      <vt:variant>
        <vt:i4>1638448</vt:i4>
      </vt:variant>
      <vt:variant>
        <vt:i4>62</vt:i4>
      </vt:variant>
      <vt:variant>
        <vt:i4>0</vt:i4>
      </vt:variant>
      <vt:variant>
        <vt:i4>5</vt:i4>
      </vt:variant>
      <vt:variant>
        <vt:lpwstr/>
      </vt:variant>
      <vt:variant>
        <vt:lpwstr>_Toc163737185</vt:lpwstr>
      </vt:variant>
      <vt:variant>
        <vt:i4>1638448</vt:i4>
      </vt:variant>
      <vt:variant>
        <vt:i4>56</vt:i4>
      </vt:variant>
      <vt:variant>
        <vt:i4>0</vt:i4>
      </vt:variant>
      <vt:variant>
        <vt:i4>5</vt:i4>
      </vt:variant>
      <vt:variant>
        <vt:lpwstr/>
      </vt:variant>
      <vt:variant>
        <vt:lpwstr>_Toc163737184</vt:lpwstr>
      </vt:variant>
      <vt:variant>
        <vt:i4>1638448</vt:i4>
      </vt:variant>
      <vt:variant>
        <vt:i4>50</vt:i4>
      </vt:variant>
      <vt:variant>
        <vt:i4>0</vt:i4>
      </vt:variant>
      <vt:variant>
        <vt:i4>5</vt:i4>
      </vt:variant>
      <vt:variant>
        <vt:lpwstr/>
      </vt:variant>
      <vt:variant>
        <vt:lpwstr>_Toc163737183</vt:lpwstr>
      </vt:variant>
      <vt:variant>
        <vt:i4>1638448</vt:i4>
      </vt:variant>
      <vt:variant>
        <vt:i4>44</vt:i4>
      </vt:variant>
      <vt:variant>
        <vt:i4>0</vt:i4>
      </vt:variant>
      <vt:variant>
        <vt:i4>5</vt:i4>
      </vt:variant>
      <vt:variant>
        <vt:lpwstr/>
      </vt:variant>
      <vt:variant>
        <vt:lpwstr>_Toc163737182</vt:lpwstr>
      </vt:variant>
      <vt:variant>
        <vt:i4>1638448</vt:i4>
      </vt:variant>
      <vt:variant>
        <vt:i4>38</vt:i4>
      </vt:variant>
      <vt:variant>
        <vt:i4>0</vt:i4>
      </vt:variant>
      <vt:variant>
        <vt:i4>5</vt:i4>
      </vt:variant>
      <vt:variant>
        <vt:lpwstr/>
      </vt:variant>
      <vt:variant>
        <vt:lpwstr>_Toc163737181</vt:lpwstr>
      </vt:variant>
      <vt:variant>
        <vt:i4>1638448</vt:i4>
      </vt:variant>
      <vt:variant>
        <vt:i4>32</vt:i4>
      </vt:variant>
      <vt:variant>
        <vt:i4>0</vt:i4>
      </vt:variant>
      <vt:variant>
        <vt:i4>5</vt:i4>
      </vt:variant>
      <vt:variant>
        <vt:lpwstr/>
      </vt:variant>
      <vt:variant>
        <vt:lpwstr>_Toc163737180</vt:lpwstr>
      </vt:variant>
      <vt:variant>
        <vt:i4>1441840</vt:i4>
      </vt:variant>
      <vt:variant>
        <vt:i4>26</vt:i4>
      </vt:variant>
      <vt:variant>
        <vt:i4>0</vt:i4>
      </vt:variant>
      <vt:variant>
        <vt:i4>5</vt:i4>
      </vt:variant>
      <vt:variant>
        <vt:lpwstr/>
      </vt:variant>
      <vt:variant>
        <vt:lpwstr>_Toc163737179</vt:lpwstr>
      </vt:variant>
      <vt:variant>
        <vt:i4>1441840</vt:i4>
      </vt:variant>
      <vt:variant>
        <vt:i4>20</vt:i4>
      </vt:variant>
      <vt:variant>
        <vt:i4>0</vt:i4>
      </vt:variant>
      <vt:variant>
        <vt:i4>5</vt:i4>
      </vt:variant>
      <vt:variant>
        <vt:lpwstr/>
      </vt:variant>
      <vt:variant>
        <vt:lpwstr>_Toc163737178</vt:lpwstr>
      </vt:variant>
      <vt:variant>
        <vt:i4>1441840</vt:i4>
      </vt:variant>
      <vt:variant>
        <vt:i4>14</vt:i4>
      </vt:variant>
      <vt:variant>
        <vt:i4>0</vt:i4>
      </vt:variant>
      <vt:variant>
        <vt:i4>5</vt:i4>
      </vt:variant>
      <vt:variant>
        <vt:lpwstr/>
      </vt:variant>
      <vt:variant>
        <vt:lpwstr>_Toc163737177</vt:lpwstr>
      </vt:variant>
      <vt:variant>
        <vt:i4>1441840</vt:i4>
      </vt:variant>
      <vt:variant>
        <vt:i4>8</vt:i4>
      </vt:variant>
      <vt:variant>
        <vt:i4>0</vt:i4>
      </vt:variant>
      <vt:variant>
        <vt:i4>5</vt:i4>
      </vt:variant>
      <vt:variant>
        <vt:lpwstr/>
      </vt:variant>
      <vt:variant>
        <vt:lpwstr>_Toc163737176</vt:lpwstr>
      </vt:variant>
      <vt:variant>
        <vt:i4>1441840</vt:i4>
      </vt:variant>
      <vt:variant>
        <vt:i4>2</vt:i4>
      </vt:variant>
      <vt:variant>
        <vt:i4>0</vt:i4>
      </vt:variant>
      <vt:variant>
        <vt:i4>5</vt:i4>
      </vt:variant>
      <vt:variant>
        <vt:lpwstr/>
      </vt:variant>
      <vt:variant>
        <vt:lpwstr>_Toc163737175</vt:lpwstr>
      </vt:variant>
      <vt:variant>
        <vt:i4>6488169</vt:i4>
      </vt:variant>
      <vt:variant>
        <vt:i4>15</vt:i4>
      </vt:variant>
      <vt:variant>
        <vt:i4>0</vt:i4>
      </vt:variant>
      <vt:variant>
        <vt:i4>5</vt:i4>
      </vt:variant>
      <vt:variant>
        <vt:lpwstr>https://health.nt.gov.au/public-health-notifiable-diseases</vt:lpwstr>
      </vt:variant>
      <vt:variant>
        <vt:lpwstr/>
      </vt:variant>
      <vt:variant>
        <vt:i4>1507396</vt:i4>
      </vt:variant>
      <vt:variant>
        <vt:i4>165</vt:i4>
      </vt:variant>
      <vt:variant>
        <vt:i4>0</vt:i4>
      </vt:variant>
      <vt:variant>
        <vt:i4>5</vt:i4>
      </vt:variant>
      <vt:variant>
        <vt:lpwstr>https://www.who.int/publications/i/item/9789241509763</vt:lpwstr>
      </vt:variant>
      <vt:variant>
        <vt:lpwstr/>
      </vt:variant>
      <vt:variant>
        <vt:i4>1441811</vt:i4>
      </vt:variant>
      <vt:variant>
        <vt:i4>162</vt:i4>
      </vt:variant>
      <vt:variant>
        <vt:i4>0</vt:i4>
      </vt:variant>
      <vt:variant>
        <vt:i4>5</vt:i4>
      </vt:variant>
      <vt:variant>
        <vt:lpwstr>https://www.who.int/teams/global-hiv-hepatitis-and-stis-programmes/stis/treatment/addressing-amr-in-stis</vt:lpwstr>
      </vt:variant>
      <vt:variant>
        <vt:lpwstr/>
      </vt:variant>
      <vt:variant>
        <vt:i4>4915201</vt:i4>
      </vt:variant>
      <vt:variant>
        <vt:i4>156</vt:i4>
      </vt:variant>
      <vt:variant>
        <vt:i4>0</vt:i4>
      </vt:variant>
      <vt:variant>
        <vt:i4>5</vt:i4>
      </vt:variant>
      <vt:variant>
        <vt:lpwstr>https://report.cervicalcancercontrol.org.au/</vt:lpwstr>
      </vt:variant>
      <vt:variant>
        <vt:lpwstr/>
      </vt:variant>
      <vt:variant>
        <vt:i4>7667808</vt:i4>
      </vt:variant>
      <vt:variant>
        <vt:i4>153</vt:i4>
      </vt:variant>
      <vt:variant>
        <vt:i4>0</vt:i4>
      </vt:variant>
      <vt:variant>
        <vt:i4>5</vt:i4>
      </vt:variant>
      <vt:variant>
        <vt:lpwstr>https://www.ncirs.org.au/sites/default/files/2021-11/NCIRS Annual Immunisation Coverage report 2020.pdf</vt:lpwstr>
      </vt:variant>
      <vt:variant>
        <vt:lpwstr/>
      </vt:variant>
      <vt:variant>
        <vt:i4>6750308</vt:i4>
      </vt:variant>
      <vt:variant>
        <vt:i4>147</vt:i4>
      </vt:variant>
      <vt:variant>
        <vt:i4>0</vt:i4>
      </vt:variant>
      <vt:variant>
        <vt:i4>5</vt:i4>
      </vt:variant>
      <vt:variant>
        <vt:lpwstr>https://sti.guidelines.org.au/populations-and-situations/people-in-custodial-settings/</vt:lpwstr>
      </vt:variant>
      <vt:variant>
        <vt:lpwstr/>
      </vt:variant>
      <vt:variant>
        <vt:i4>2752632</vt:i4>
      </vt:variant>
      <vt:variant>
        <vt:i4>144</vt:i4>
      </vt:variant>
      <vt:variant>
        <vt:i4>0</vt:i4>
      </vt:variant>
      <vt:variant>
        <vt:i4>5</vt:i4>
      </vt:variant>
      <vt:variant>
        <vt:lpwstr>https://studentwellbeinghub.edu.au/educators/resources/sexual-health-promotion-with-culturally-and-linguistically-diverse-young-people/</vt:lpwstr>
      </vt:variant>
      <vt:variant>
        <vt:lpwstr/>
      </vt:variant>
      <vt:variant>
        <vt:i4>2687070</vt:i4>
      </vt:variant>
      <vt:variant>
        <vt:i4>141</vt:i4>
      </vt:variant>
      <vt:variant>
        <vt:i4>0</vt:i4>
      </vt:variant>
      <vt:variant>
        <vt:i4>5</vt:i4>
      </vt:variant>
      <vt:variant>
        <vt:lpwstr>https://scarletalliance.org.au/library/Stigma_Indicators</vt:lpwstr>
      </vt:variant>
      <vt:variant>
        <vt:lpwstr/>
      </vt:variant>
      <vt:variant>
        <vt:i4>8060988</vt:i4>
      </vt:variant>
      <vt:variant>
        <vt:i4>138</vt:i4>
      </vt:variant>
      <vt:variant>
        <vt:i4>0</vt:i4>
      </vt:variant>
      <vt:variant>
        <vt:i4>5</vt:i4>
      </vt:variant>
      <vt:variant>
        <vt:lpwstr>https://www.health.gov.au/resources/pregnancy-care-guidelines/part-f-routine-maternal-health-tests/syphilis</vt:lpwstr>
      </vt:variant>
      <vt:variant>
        <vt:lpwstr/>
      </vt:variant>
      <vt:variant>
        <vt:i4>7405604</vt:i4>
      </vt:variant>
      <vt:variant>
        <vt:i4>135</vt:i4>
      </vt:variant>
      <vt:variant>
        <vt:i4>0</vt:i4>
      </vt:variant>
      <vt:variant>
        <vt:i4>5</vt:i4>
      </vt:variant>
      <vt:variant>
        <vt:lpwstr>https://www.health.gov.au/resources/publications/national-syphilis-surveillance-quarterly-report-july-to-september-2022?language=en</vt:lpwstr>
      </vt:variant>
      <vt:variant>
        <vt:lpwstr/>
      </vt:variant>
      <vt:variant>
        <vt:i4>8060988</vt:i4>
      </vt:variant>
      <vt:variant>
        <vt:i4>132</vt:i4>
      </vt:variant>
      <vt:variant>
        <vt:i4>0</vt:i4>
      </vt:variant>
      <vt:variant>
        <vt:i4>5</vt:i4>
      </vt:variant>
      <vt:variant>
        <vt:lpwstr>https://www.health.gov.au/resources/pregnancy-care-guidelines/part-f-routine-maternal-health-tests/syphilis</vt:lpwstr>
      </vt:variant>
      <vt:variant>
        <vt:lpwstr/>
      </vt:variant>
      <vt:variant>
        <vt:i4>1769491</vt:i4>
      </vt:variant>
      <vt:variant>
        <vt:i4>129</vt:i4>
      </vt:variant>
      <vt:variant>
        <vt:i4>0</vt:i4>
      </vt:variant>
      <vt:variant>
        <vt:i4>5</vt:i4>
      </vt:variant>
      <vt:variant>
        <vt:lpwstr>https://humanrights.gov.au/about/news/speeches/social-determinants-and-health-indigenous-peoples-australia-human-rights-based</vt:lpwstr>
      </vt:variant>
      <vt:variant>
        <vt:lpwstr/>
      </vt:variant>
      <vt:variant>
        <vt:i4>5374047</vt:i4>
      </vt:variant>
      <vt:variant>
        <vt:i4>126</vt:i4>
      </vt:variant>
      <vt:variant>
        <vt:i4>0</vt:i4>
      </vt:variant>
      <vt:variant>
        <vt:i4>5</vt:i4>
      </vt:variant>
      <vt:variant>
        <vt:lpwstr>https://www.childsafety.gov.au/system/files/2022-09/national-strategy-2021-30-english.pdf</vt:lpwstr>
      </vt:variant>
      <vt:variant>
        <vt:lpwstr/>
      </vt:variant>
      <vt:variant>
        <vt:i4>7143482</vt:i4>
      </vt:variant>
      <vt:variant>
        <vt:i4>123</vt:i4>
      </vt:variant>
      <vt:variant>
        <vt:i4>0</vt:i4>
      </vt:variant>
      <vt:variant>
        <vt:i4>5</vt:i4>
      </vt:variant>
      <vt:variant>
        <vt:lpwstr>https://sti.guidelines.org.au/</vt:lpwstr>
      </vt:variant>
      <vt:variant>
        <vt:lpwstr/>
      </vt:variant>
      <vt:variant>
        <vt:i4>7929948</vt:i4>
      </vt:variant>
      <vt:variant>
        <vt:i4>120</vt:i4>
      </vt:variant>
      <vt:variant>
        <vt:i4>0</vt:i4>
      </vt:variant>
      <vt:variant>
        <vt:i4>5</vt:i4>
      </vt:variant>
      <vt:variant>
        <vt:lpwstr>https://www.unsw.edu.au/content/dam/pdfs/unsw-adobe-websites/arts-design-architecture/ada-faculty/csrh/2021-06-Stigma_Indicators_Monitoring_Project_Summary_Report.pdf</vt:lpwstr>
      </vt:variant>
      <vt:variant>
        <vt:lpwstr/>
      </vt:variant>
      <vt:variant>
        <vt:i4>131079</vt:i4>
      </vt:variant>
      <vt:variant>
        <vt:i4>117</vt:i4>
      </vt:variant>
      <vt:variant>
        <vt:i4>0</vt:i4>
      </vt:variant>
      <vt:variant>
        <vt:i4>5</vt:i4>
      </vt:variant>
      <vt:variant>
        <vt:lpwstr>https://pubmed.ncbi.nlm.nih.gov/35705518/</vt:lpwstr>
      </vt:variant>
      <vt:variant>
        <vt:lpwstr/>
      </vt:variant>
      <vt:variant>
        <vt:i4>4653065</vt:i4>
      </vt:variant>
      <vt:variant>
        <vt:i4>114</vt:i4>
      </vt:variant>
      <vt:variant>
        <vt:i4>0</vt:i4>
      </vt:variant>
      <vt:variant>
        <vt:i4>5</vt:i4>
      </vt:variant>
      <vt:variant>
        <vt:lpwstr>http://hivlegal.ashm.org.au/</vt:lpwstr>
      </vt:variant>
      <vt:variant>
        <vt:lpwstr/>
      </vt:variant>
      <vt:variant>
        <vt:i4>2490486</vt:i4>
      </vt:variant>
      <vt:variant>
        <vt:i4>111</vt:i4>
      </vt:variant>
      <vt:variant>
        <vt:i4>0</vt:i4>
      </vt:variant>
      <vt:variant>
        <vt:i4>5</vt:i4>
      </vt:variant>
      <vt:variant>
        <vt:lpwstr>http://unsworks.unsw.edu.au/fapi/datastream/unsworks:77139/bin8807976f-5af2-46c4-aee2-1eb3f8ac7e74?view=true&amp;xy=01</vt:lpwstr>
      </vt:variant>
      <vt:variant>
        <vt:lpwstr/>
      </vt:variant>
      <vt:variant>
        <vt:i4>5832704</vt:i4>
      </vt:variant>
      <vt:variant>
        <vt:i4>108</vt:i4>
      </vt:variant>
      <vt:variant>
        <vt:i4>0</vt:i4>
      </vt:variant>
      <vt:variant>
        <vt:i4>5</vt:i4>
      </vt:variant>
      <vt:variant>
        <vt:lpwstr>https://www.who.int/teams/global-hiv-hepatitis-and-stis-programmes/strategies/global-health-sector-strategies</vt:lpwstr>
      </vt:variant>
      <vt:variant>
        <vt:lpwstr/>
      </vt:variant>
      <vt:variant>
        <vt:i4>4063338</vt:i4>
      </vt:variant>
      <vt:variant>
        <vt:i4>105</vt:i4>
      </vt:variant>
      <vt:variant>
        <vt:i4>0</vt:i4>
      </vt:variant>
      <vt:variant>
        <vt:i4>5</vt:i4>
      </vt:variant>
      <vt:variant>
        <vt:lpwstr>https://www.thelancet.com/journals/lancet/article/PIIS0140-6736(18)30293-9/fulltext?elsca1=etoc</vt:lpwstr>
      </vt:variant>
      <vt:variant>
        <vt:lpwstr/>
      </vt:variant>
      <vt:variant>
        <vt:i4>6815869</vt:i4>
      </vt:variant>
      <vt:variant>
        <vt:i4>102</vt:i4>
      </vt:variant>
      <vt:variant>
        <vt:i4>0</vt:i4>
      </vt:variant>
      <vt:variant>
        <vt:i4>5</vt:i4>
      </vt:variant>
      <vt:variant>
        <vt:lpwstr>https://sdgs.un.org/2030agenda</vt:lpwstr>
      </vt:variant>
      <vt:variant>
        <vt:lpwstr/>
      </vt:variant>
      <vt:variant>
        <vt:i4>2293866</vt:i4>
      </vt:variant>
      <vt:variant>
        <vt:i4>99</vt:i4>
      </vt:variant>
      <vt:variant>
        <vt:i4>0</vt:i4>
      </vt:variant>
      <vt:variant>
        <vt:i4>5</vt:i4>
      </vt:variant>
      <vt:variant>
        <vt:lpwstr>https://www.health.gov.au/resources/publications/australias-primary-health-care-10-year-plan-2022-2032</vt:lpwstr>
      </vt:variant>
      <vt:variant>
        <vt:lpwstr/>
      </vt:variant>
      <vt:variant>
        <vt:i4>2162696</vt:i4>
      </vt:variant>
      <vt:variant>
        <vt:i4>96</vt:i4>
      </vt:variant>
      <vt:variant>
        <vt:i4>0</vt:i4>
      </vt:variant>
      <vt:variant>
        <vt:i4>5</vt:i4>
      </vt:variant>
      <vt:variant>
        <vt:lpwstr>https://web.archive.org.au/awa/20180313135651mp_/https:/www.coag.gov.au/sites/default/files/communique/2015 National Ice Action Strategy.pdf</vt:lpwstr>
      </vt:variant>
      <vt:variant>
        <vt:lpwstr/>
      </vt:variant>
      <vt:variant>
        <vt:i4>4063266</vt:i4>
      </vt:variant>
      <vt:variant>
        <vt:i4>93</vt:i4>
      </vt:variant>
      <vt:variant>
        <vt:i4>0</vt:i4>
      </vt:variant>
      <vt:variant>
        <vt:i4>5</vt:i4>
      </vt:variant>
      <vt:variant>
        <vt:lpwstr>https://www.health.gov.au/resources/publications/national-preventive-health-strategy-2021-2030?language=en</vt:lpwstr>
      </vt:variant>
      <vt:variant>
        <vt:lpwstr/>
      </vt:variant>
      <vt:variant>
        <vt:i4>1900608</vt:i4>
      </vt:variant>
      <vt:variant>
        <vt:i4>90</vt:i4>
      </vt:variant>
      <vt:variant>
        <vt:i4>0</vt:i4>
      </vt:variant>
      <vt:variant>
        <vt:i4>5</vt:i4>
      </vt:variant>
      <vt:variant>
        <vt:lpwstr>https://www.who.int/publications/i/item/9789240027077</vt:lpwstr>
      </vt:variant>
      <vt:variant>
        <vt:lpwstr/>
      </vt:variant>
      <vt:variant>
        <vt:i4>5832704</vt:i4>
      </vt:variant>
      <vt:variant>
        <vt:i4>87</vt:i4>
      </vt:variant>
      <vt:variant>
        <vt:i4>0</vt:i4>
      </vt:variant>
      <vt:variant>
        <vt:i4>5</vt:i4>
      </vt:variant>
      <vt:variant>
        <vt:lpwstr>https://www.who.int/teams/global-hiv-hepatitis-and-stis-programmes/strategies/global-health-sector-strategies</vt:lpwstr>
      </vt:variant>
      <vt:variant>
        <vt:lpwstr/>
      </vt:variant>
      <vt:variant>
        <vt:i4>3145847</vt:i4>
      </vt:variant>
      <vt:variant>
        <vt:i4>84</vt:i4>
      </vt:variant>
      <vt:variant>
        <vt:i4>0</vt:i4>
      </vt:variant>
      <vt:variant>
        <vt:i4>5</vt:i4>
      </vt:variant>
      <vt:variant>
        <vt:lpwstr>https://www.health.gov.au/sites/default/files/national-drug-strategy-2017-2026.pdf</vt:lpwstr>
      </vt:variant>
      <vt:variant>
        <vt:lpwstr/>
      </vt:variant>
      <vt:variant>
        <vt:i4>5177368</vt:i4>
      </vt:variant>
      <vt:variant>
        <vt:i4>81</vt:i4>
      </vt:variant>
      <vt:variant>
        <vt:i4>0</vt:i4>
      </vt:variant>
      <vt:variant>
        <vt:i4>5</vt:i4>
      </vt:variant>
      <vt:variant>
        <vt:lpwstr>https://www.health.gov.au/sites/default/files/documents/2022/06/fourth-national-sexually-transmissible-infections-strategy-2018-2022.pdf</vt:lpwstr>
      </vt:variant>
      <vt:variant>
        <vt:lpwstr/>
      </vt:variant>
      <vt:variant>
        <vt:i4>2490486</vt:i4>
      </vt:variant>
      <vt:variant>
        <vt:i4>78</vt:i4>
      </vt:variant>
      <vt:variant>
        <vt:i4>0</vt:i4>
      </vt:variant>
      <vt:variant>
        <vt:i4>5</vt:i4>
      </vt:variant>
      <vt:variant>
        <vt:lpwstr>http://unsworks.unsw.edu.au/fapi/datastream/unsworks:77139/bin8807976f-5af2-46c4-aee2-1eb3f8ac7e74?view=true&amp;xy=01</vt:lpwstr>
      </vt:variant>
      <vt:variant>
        <vt:lpwstr/>
      </vt:variant>
      <vt:variant>
        <vt:i4>5177413</vt:i4>
      </vt:variant>
      <vt:variant>
        <vt:i4>75</vt:i4>
      </vt:variant>
      <vt:variant>
        <vt:i4>0</vt:i4>
      </vt:variant>
      <vt:variant>
        <vt:i4>5</vt:i4>
      </vt:variant>
      <vt:variant>
        <vt:lpwstr>https://onlinelibrary.wiley.com/doi/10.1111/imj.16236</vt:lpwstr>
      </vt:variant>
      <vt:variant>
        <vt:lpwstr/>
      </vt:variant>
      <vt:variant>
        <vt:i4>393286</vt:i4>
      </vt:variant>
      <vt:variant>
        <vt:i4>72</vt:i4>
      </vt:variant>
      <vt:variant>
        <vt:i4>0</vt:i4>
      </vt:variant>
      <vt:variant>
        <vt:i4>5</vt:i4>
      </vt:variant>
      <vt:variant>
        <vt:lpwstr>https://www1.racgp.org.au/ajgp/2021/january-february/chlamydia-associated-reproductive-complications-in</vt:lpwstr>
      </vt:variant>
      <vt:variant>
        <vt:lpwstr>:~:text=Although%20approximately%2080%25%20of%20women,tract'%20that%20'varies%20widely%20in</vt:lpwstr>
      </vt:variant>
      <vt:variant>
        <vt:i4>1310789</vt:i4>
      </vt:variant>
      <vt:variant>
        <vt:i4>69</vt:i4>
      </vt:variant>
      <vt:variant>
        <vt:i4>0</vt:i4>
      </vt:variant>
      <vt:variant>
        <vt:i4>5</vt:i4>
      </vt:variant>
      <vt:variant>
        <vt:lpwstr>https://ashm.org.au/about/news/australian-consensus-statement-on-person-centred-hiv-care/</vt:lpwstr>
      </vt:variant>
      <vt:variant>
        <vt:lpwstr/>
      </vt:variant>
      <vt:variant>
        <vt:i4>2424942</vt:i4>
      </vt:variant>
      <vt:variant>
        <vt:i4>66</vt:i4>
      </vt:variant>
      <vt:variant>
        <vt:i4>0</vt:i4>
      </vt:variant>
      <vt:variant>
        <vt:i4>5</vt:i4>
      </vt:variant>
      <vt:variant>
        <vt:lpwstr>https://www.health.gov.au/topics/sexual-health</vt:lpwstr>
      </vt:variant>
      <vt:variant>
        <vt:lpwstr/>
      </vt:variant>
      <vt:variant>
        <vt:i4>5439503</vt:i4>
      </vt:variant>
      <vt:variant>
        <vt:i4>63</vt:i4>
      </vt:variant>
      <vt:variant>
        <vt:i4>0</vt:i4>
      </vt:variant>
      <vt:variant>
        <vt:i4>5</vt:i4>
      </vt:variant>
      <vt:variant>
        <vt:lpwstr>https://www.healthline.com/health/what-is-stigma</vt:lpwstr>
      </vt:variant>
      <vt:variant>
        <vt:lpwstr/>
      </vt:variant>
      <vt:variant>
        <vt:i4>4587625</vt:i4>
      </vt:variant>
      <vt:variant>
        <vt:i4>60</vt:i4>
      </vt:variant>
      <vt:variant>
        <vt:i4>0</vt:i4>
      </vt:variant>
      <vt:variant>
        <vt:i4>5</vt:i4>
      </vt:variant>
      <vt:variant>
        <vt:lpwstr>https://www.who.int/health-topics/social-determinants-of-health</vt:lpwstr>
      </vt:variant>
      <vt:variant>
        <vt:lpwstr>tab=tab_1</vt:lpwstr>
      </vt:variant>
      <vt:variant>
        <vt:i4>5111889</vt:i4>
      </vt:variant>
      <vt:variant>
        <vt:i4>57</vt:i4>
      </vt:variant>
      <vt:variant>
        <vt:i4>0</vt:i4>
      </vt:variant>
      <vt:variant>
        <vt:i4>5</vt:i4>
      </vt:variant>
      <vt:variant>
        <vt:lpwstr>https://healtheducationresources.unesco.org/library/documents/sexual-and-reproductive-health-and-rights-srhr-brief</vt:lpwstr>
      </vt:variant>
      <vt:variant>
        <vt:lpwstr>:~:text=Sexual%20and%20reproductive%20health%20and%20rights%20(SRHR)%20are%20fundamental%20to,live%20healthy%20and%20productive%20lives</vt:lpwstr>
      </vt:variant>
      <vt:variant>
        <vt:i4>4063266</vt:i4>
      </vt:variant>
      <vt:variant>
        <vt:i4>54</vt:i4>
      </vt:variant>
      <vt:variant>
        <vt:i4>0</vt:i4>
      </vt:variant>
      <vt:variant>
        <vt:i4>5</vt:i4>
      </vt:variant>
      <vt:variant>
        <vt:lpwstr>https://www.health.gov.au/resources/publications/national-preventive-health-strategy-2021-2030?language=en</vt:lpwstr>
      </vt:variant>
      <vt:variant>
        <vt:lpwstr/>
      </vt:variant>
      <vt:variant>
        <vt:i4>5111877</vt:i4>
      </vt:variant>
      <vt:variant>
        <vt:i4>51</vt:i4>
      </vt:variant>
      <vt:variant>
        <vt:i4>0</vt:i4>
      </vt:variant>
      <vt:variant>
        <vt:i4>5</vt:i4>
      </vt:variant>
      <vt:variant>
        <vt:lpwstr>https://healthinfonet.ecu.edu.au/learn/health-system/primary-health-care/</vt:lpwstr>
      </vt:variant>
      <vt:variant>
        <vt:lpwstr/>
      </vt:variant>
      <vt:variant>
        <vt:i4>1048586</vt:i4>
      </vt:variant>
      <vt:variant>
        <vt:i4>48</vt:i4>
      </vt:variant>
      <vt:variant>
        <vt:i4>0</vt:i4>
      </vt:variant>
      <vt:variant>
        <vt:i4>5</vt:i4>
      </vt:variant>
      <vt:variant>
        <vt:lpwstr>https://www.health.gov.au/our-work/phn/what-PHNs-are</vt:lpwstr>
      </vt:variant>
      <vt:variant>
        <vt:lpwstr/>
      </vt:variant>
      <vt:variant>
        <vt:i4>3735587</vt:i4>
      </vt:variant>
      <vt:variant>
        <vt:i4>45</vt:i4>
      </vt:variant>
      <vt:variant>
        <vt:i4>0</vt:i4>
      </vt:variant>
      <vt:variant>
        <vt:i4>5</vt:i4>
      </vt:variant>
      <vt:variant>
        <vt:lpwstr>https://www.emro.who.int/about-who/public-health-functions/health-promotion-disease-prevention.html</vt:lpwstr>
      </vt:variant>
      <vt:variant>
        <vt:lpwstr/>
      </vt:variant>
      <vt:variant>
        <vt:i4>7012398</vt:i4>
      </vt:variant>
      <vt:variant>
        <vt:i4>42</vt:i4>
      </vt:variant>
      <vt:variant>
        <vt:i4>0</vt:i4>
      </vt:variant>
      <vt:variant>
        <vt:i4>5</vt:i4>
      </vt:variant>
      <vt:variant>
        <vt:lpwstr>https://www.hee.nhs.uk/our-work/person-centred-care</vt:lpwstr>
      </vt:variant>
      <vt:variant>
        <vt:lpwstr/>
      </vt:variant>
      <vt:variant>
        <vt:i4>2883632</vt:i4>
      </vt:variant>
      <vt:variant>
        <vt:i4>39</vt:i4>
      </vt:variant>
      <vt:variant>
        <vt:i4>0</vt:i4>
      </vt:variant>
      <vt:variant>
        <vt:i4>5</vt:i4>
      </vt:variant>
      <vt:variant>
        <vt:lpwstr>https://www.vic.gov.au/understanding-intersectionality</vt:lpwstr>
      </vt:variant>
      <vt:variant>
        <vt:lpwstr/>
      </vt:variant>
      <vt:variant>
        <vt:i4>3735605</vt:i4>
      </vt:variant>
      <vt:variant>
        <vt:i4>36</vt:i4>
      </vt:variant>
      <vt:variant>
        <vt:i4>0</vt:i4>
      </vt:variant>
      <vt:variant>
        <vt:i4>5</vt:i4>
      </vt:variant>
      <vt:variant>
        <vt:lpwstr>https://www.ferris.edu/administration/president/DiversityOffice/Definitions.htm</vt:lpwstr>
      </vt:variant>
      <vt:variant>
        <vt:lpwstr/>
      </vt:variant>
      <vt:variant>
        <vt:i4>2818092</vt:i4>
      </vt:variant>
      <vt:variant>
        <vt:i4>33</vt:i4>
      </vt:variant>
      <vt:variant>
        <vt:i4>0</vt:i4>
      </vt:variant>
      <vt:variant>
        <vt:i4>5</vt:i4>
      </vt:variant>
      <vt:variant>
        <vt:lpwstr>https://humanrights.gov.au/about/what-are-human-rights</vt:lpwstr>
      </vt:variant>
      <vt:variant>
        <vt:lpwstr/>
      </vt:variant>
      <vt:variant>
        <vt:i4>6946940</vt:i4>
      </vt:variant>
      <vt:variant>
        <vt:i4>30</vt:i4>
      </vt:variant>
      <vt:variant>
        <vt:i4>0</vt:i4>
      </vt:variant>
      <vt:variant>
        <vt:i4>5</vt:i4>
      </vt:variant>
      <vt:variant>
        <vt:lpwstr>https://www.aihw.gov.au/reports/workforce/health-workforce</vt:lpwstr>
      </vt:variant>
      <vt:variant>
        <vt:lpwstr/>
      </vt:variant>
      <vt:variant>
        <vt:i4>65576</vt:i4>
      </vt:variant>
      <vt:variant>
        <vt:i4>27</vt:i4>
      </vt:variant>
      <vt:variant>
        <vt:i4>0</vt:i4>
      </vt:variant>
      <vt:variant>
        <vt:i4>5</vt:i4>
      </vt:variant>
      <vt:variant>
        <vt:lpwstr>https://www.who.int/health-topics/health-equity</vt:lpwstr>
      </vt:variant>
      <vt:variant>
        <vt:lpwstr>tab=tab_1</vt:lpwstr>
      </vt:variant>
      <vt:variant>
        <vt:i4>3735605</vt:i4>
      </vt:variant>
      <vt:variant>
        <vt:i4>24</vt:i4>
      </vt:variant>
      <vt:variant>
        <vt:i4>0</vt:i4>
      </vt:variant>
      <vt:variant>
        <vt:i4>5</vt:i4>
      </vt:variant>
      <vt:variant>
        <vt:lpwstr>https://www.ferris.edu/administration/president/DiversityOffice/Definitions.htm</vt:lpwstr>
      </vt:variant>
      <vt:variant>
        <vt:lpwstr/>
      </vt:variant>
      <vt:variant>
        <vt:i4>5701634</vt:i4>
      </vt:variant>
      <vt:variant>
        <vt:i4>21</vt:i4>
      </vt:variant>
      <vt:variant>
        <vt:i4>0</vt:i4>
      </vt:variant>
      <vt:variant>
        <vt:i4>5</vt:i4>
      </vt:variant>
      <vt:variant>
        <vt:lpwstr>https://humanrights.gov.au/quick-guide/12030</vt:lpwstr>
      </vt:variant>
      <vt:variant>
        <vt:lpwstr/>
      </vt:variant>
      <vt:variant>
        <vt:i4>2293881</vt:i4>
      </vt:variant>
      <vt:variant>
        <vt:i4>18</vt:i4>
      </vt:variant>
      <vt:variant>
        <vt:i4>0</vt:i4>
      </vt:variant>
      <vt:variant>
        <vt:i4>5</vt:i4>
      </vt:variant>
      <vt:variant>
        <vt:lpwstr>https://www.who.int/emergencies/diseases/novel-coronavirus-2019/technical-guidance/naming-the-coronavirus-disease-(covid-2019)-and-the-virus-that-causes-it</vt:lpwstr>
      </vt:variant>
      <vt:variant>
        <vt:lpwstr>:~:text=Human%20disease%20preparedness%20and%20response,virus%20on%2011%20February%202020</vt:lpwstr>
      </vt:variant>
      <vt:variant>
        <vt:i4>1048702</vt:i4>
      </vt:variant>
      <vt:variant>
        <vt:i4>15</vt:i4>
      </vt:variant>
      <vt:variant>
        <vt:i4>0</vt:i4>
      </vt:variant>
      <vt:variant>
        <vt:i4>5</vt:i4>
      </vt:variant>
      <vt:variant>
        <vt:lpwstr>https://en.wikipedia.org/wiki/Community_leader</vt:lpwstr>
      </vt:variant>
      <vt:variant>
        <vt:lpwstr>:~:text=Community%20leadership%20is%20a%20specific,group%20leadership%2C%20voluntary%20or%20paid</vt:lpwstr>
      </vt:variant>
      <vt:variant>
        <vt:i4>1245309</vt:i4>
      </vt:variant>
      <vt:variant>
        <vt:i4>12</vt:i4>
      </vt:variant>
      <vt:variant>
        <vt:i4>0</vt:i4>
      </vt:variant>
      <vt:variant>
        <vt:i4>5</vt:i4>
      </vt:variant>
      <vt:variant>
        <vt:lpwstr>https://aci.health.nsw.gov.au/__data/assets/pdf_file/0013/502240/Guide-Build-Codesign-Capability.pdf</vt:lpwstr>
      </vt:variant>
      <vt:variant>
        <vt:lpwstr/>
      </vt:variant>
      <vt:variant>
        <vt:i4>2424881</vt:i4>
      </vt:variant>
      <vt:variant>
        <vt:i4>9</vt:i4>
      </vt:variant>
      <vt:variant>
        <vt:i4>0</vt:i4>
      </vt:variant>
      <vt:variant>
        <vt:i4>5</vt:i4>
      </vt:variant>
      <vt:variant>
        <vt:lpwstr>https://humanrights.gov.au/our-work/lgbti/terminology</vt:lpwstr>
      </vt:variant>
      <vt:variant>
        <vt:lpwstr>:~:text=Cisgender%3A%20Refers%20to%20people%20who,at%20birth%20(see%20Transgender)</vt:lpwstr>
      </vt:variant>
      <vt:variant>
        <vt:i4>2752563</vt:i4>
      </vt:variant>
      <vt:variant>
        <vt:i4>6</vt:i4>
      </vt:variant>
      <vt:variant>
        <vt:i4>0</vt:i4>
      </vt:variant>
      <vt:variant>
        <vt:i4>5</vt:i4>
      </vt:variant>
      <vt:variant>
        <vt:lpwstr>https://healthgov.sharepoint.com/sites/BBVSTITSH/Shared Documents/ATSI and STI Strategies 2023-2030/key terms Definitions and k</vt:lpwstr>
      </vt:variant>
      <vt:variant>
        <vt:lpwstr/>
      </vt:variant>
      <vt:variant>
        <vt:i4>5570643</vt:i4>
      </vt:variant>
      <vt:variant>
        <vt:i4>3</vt:i4>
      </vt:variant>
      <vt:variant>
        <vt:i4>0</vt:i4>
      </vt:variant>
      <vt:variant>
        <vt:i4>5</vt:i4>
      </vt:variant>
      <vt:variant>
        <vt:lpwstr>https://www.agedcarequality.gov.au/antimicrobial-stewardship</vt:lpwstr>
      </vt:variant>
      <vt:variant>
        <vt:lpwstr>:~:text=Antimicrobial%20stewardship%20(AMS)%20is%20the,practice%20antimicrobial%20prescribing%20and%20use</vt:lpwstr>
      </vt:variant>
      <vt:variant>
        <vt:i4>5898327</vt:i4>
      </vt:variant>
      <vt:variant>
        <vt:i4>0</vt:i4>
      </vt:variant>
      <vt:variant>
        <vt:i4>0</vt:i4>
      </vt:variant>
      <vt:variant>
        <vt:i4>5</vt:i4>
      </vt:variant>
      <vt:variant>
        <vt:lpwstr>https://www.who.int/news-room/fact-sheets/detail/antimicrobial-resistance</vt:lpwstr>
      </vt:variant>
      <vt:variant>
        <vt:lpwstr/>
      </vt:variant>
      <vt:variant>
        <vt:i4>6488073</vt:i4>
      </vt:variant>
      <vt:variant>
        <vt:i4>12</vt:i4>
      </vt:variant>
      <vt:variant>
        <vt:i4>0</vt:i4>
      </vt:variant>
      <vt:variant>
        <vt:i4>5</vt:i4>
      </vt:variant>
      <vt:variant>
        <vt:lpwstr/>
      </vt:variant>
      <vt:variant>
        <vt:lpwstr>_Appendix_A:_CASE</vt:lpwstr>
      </vt:variant>
      <vt:variant>
        <vt:i4>6488073</vt:i4>
      </vt:variant>
      <vt:variant>
        <vt:i4>9</vt:i4>
      </vt:variant>
      <vt:variant>
        <vt:i4>0</vt:i4>
      </vt:variant>
      <vt:variant>
        <vt:i4>5</vt:i4>
      </vt:variant>
      <vt:variant>
        <vt:lpwstr/>
      </vt:variant>
      <vt:variant>
        <vt:lpwstr>_Appendix_A:_CASE</vt:lpwstr>
      </vt:variant>
      <vt:variant>
        <vt:i4>6488073</vt:i4>
      </vt:variant>
      <vt:variant>
        <vt:i4>6</vt:i4>
      </vt:variant>
      <vt:variant>
        <vt:i4>0</vt:i4>
      </vt:variant>
      <vt:variant>
        <vt:i4>5</vt:i4>
      </vt:variant>
      <vt:variant>
        <vt:lpwstr/>
      </vt:variant>
      <vt:variant>
        <vt:lpwstr>_Appendix_A:_CASE</vt:lpwstr>
      </vt:variant>
      <vt:variant>
        <vt:i4>6488073</vt:i4>
      </vt:variant>
      <vt:variant>
        <vt:i4>3</vt:i4>
      </vt:variant>
      <vt:variant>
        <vt:i4>0</vt:i4>
      </vt:variant>
      <vt:variant>
        <vt:i4>5</vt:i4>
      </vt:variant>
      <vt:variant>
        <vt:lpwstr/>
      </vt:variant>
      <vt:variant>
        <vt:lpwstr>_Appendix_A:_CASE</vt:lpwstr>
      </vt:variant>
      <vt:variant>
        <vt:i4>6488073</vt:i4>
      </vt:variant>
      <vt:variant>
        <vt:i4>0</vt:i4>
      </vt:variant>
      <vt:variant>
        <vt:i4>0</vt:i4>
      </vt:variant>
      <vt:variant>
        <vt:i4>5</vt:i4>
      </vt:variant>
      <vt:variant>
        <vt:lpwstr/>
      </vt:variant>
      <vt:variant>
        <vt:lpwstr>_Appendix_A:_CASE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National Sexually Transmissible Infections Strategy 2024–2030</dc:title>
  <dc:subject>Sexually transmissible infections</dc:subject>
  <dc:creator>Australian Government Department of Health and Aged Care</dc:creator>
  <cp:keywords>Sexual health</cp:keywords>
  <dc:description/>
  <cp:revision>5</cp:revision>
  <cp:lastPrinted>2024-11-19T07:01:00Z</cp:lastPrinted>
  <dcterms:created xsi:type="dcterms:W3CDTF">2024-11-19T07:00:00Z</dcterms:created>
  <dcterms:modified xsi:type="dcterms:W3CDTF">2024-11-19T07:02:00Z</dcterms:modified>
</cp:coreProperties>
</file>